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D7" w:rsidRPr="0033518A" w:rsidRDefault="004E6975" w:rsidP="0033518A">
      <w:pPr>
        <w:jc w:val="center"/>
        <w:rPr>
          <w:b/>
          <w:sz w:val="28"/>
          <w:szCs w:val="28"/>
        </w:rPr>
      </w:pPr>
      <w:r w:rsidRPr="0033518A">
        <w:rPr>
          <w:b/>
          <w:sz w:val="28"/>
          <w:szCs w:val="28"/>
        </w:rPr>
        <w:t>Proposed Research Programme</w:t>
      </w:r>
    </w:p>
    <w:p w:rsidR="004E6975" w:rsidRDefault="004E6975" w:rsidP="004E6836">
      <w:pPr>
        <w:jc w:val="both"/>
        <w:rPr>
          <w:sz w:val="24"/>
          <w:szCs w:val="24"/>
        </w:rPr>
      </w:pPr>
      <w:r w:rsidRPr="0033518A">
        <w:rPr>
          <w:sz w:val="24"/>
          <w:szCs w:val="24"/>
        </w:rPr>
        <w:t>Section 19 (</w:t>
      </w:r>
      <w:proofErr w:type="gramStart"/>
      <w:r w:rsidRPr="0033518A">
        <w:rPr>
          <w:sz w:val="24"/>
          <w:szCs w:val="24"/>
        </w:rPr>
        <w:t>iv</w:t>
      </w:r>
      <w:proofErr w:type="gramEnd"/>
      <w:r w:rsidRPr="0033518A">
        <w:rPr>
          <w:sz w:val="24"/>
          <w:szCs w:val="24"/>
        </w:rPr>
        <w:t xml:space="preserve">) of the </w:t>
      </w:r>
      <w:r w:rsidR="004E6836">
        <w:rPr>
          <w:sz w:val="24"/>
          <w:szCs w:val="24"/>
        </w:rPr>
        <w:t xml:space="preserve">PGR-1 postgraduate </w:t>
      </w:r>
      <w:r w:rsidRPr="0033518A">
        <w:rPr>
          <w:sz w:val="24"/>
          <w:szCs w:val="24"/>
        </w:rPr>
        <w:t>application form requires a detailed proposal of the research that you intend to undertake.  This proposal must be structured under the following headings</w:t>
      </w:r>
      <w:r w:rsidR="004E6836">
        <w:rPr>
          <w:sz w:val="24"/>
          <w:szCs w:val="24"/>
        </w:rPr>
        <w:t>,</w:t>
      </w:r>
      <w:r w:rsidRPr="0033518A">
        <w:rPr>
          <w:sz w:val="24"/>
          <w:szCs w:val="24"/>
        </w:rPr>
        <w:t xml:space="preserve"> and be a maximum of two pages long.  All headings must be fill</w:t>
      </w:r>
      <w:r w:rsidR="0033518A">
        <w:rPr>
          <w:sz w:val="24"/>
          <w:szCs w:val="24"/>
        </w:rPr>
        <w:t>ed</w:t>
      </w:r>
      <w:r w:rsidRPr="0033518A">
        <w:rPr>
          <w:sz w:val="24"/>
          <w:szCs w:val="24"/>
        </w:rPr>
        <w:t xml:space="preserve"> and the proposal must be signed by all internal supervisors.</w:t>
      </w: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9006"/>
      </w:tblGrid>
      <w:tr w:rsidR="0033518A" w:rsidTr="00F86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8" w:space="0" w:color="6A1A41"/>
              <w:left w:val="single" w:sz="8" w:space="0" w:color="6A1A41"/>
              <w:bottom w:val="single" w:sz="8" w:space="0" w:color="6A1A41"/>
              <w:right w:val="single" w:sz="8" w:space="0" w:color="6A1A41"/>
            </w:tcBorders>
            <w:shd w:val="clear" w:color="auto" w:fill="6A1A41"/>
          </w:tcPr>
          <w:p w:rsidR="0033518A" w:rsidRDefault="0033518A" w:rsidP="0008141F">
            <w:r>
              <w:t>PROJECT TITLE</w:t>
            </w:r>
          </w:p>
        </w:tc>
      </w:tr>
      <w:tr w:rsidR="0033518A" w:rsidTr="00F8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8" w:space="0" w:color="6A1A41"/>
              <w:left w:val="single" w:sz="8" w:space="0" w:color="6A1A41"/>
              <w:bottom w:val="single" w:sz="8" w:space="0" w:color="6A1A41"/>
              <w:right w:val="single" w:sz="8" w:space="0" w:color="6A1A41"/>
            </w:tcBorders>
          </w:tcPr>
          <w:p w:rsidR="0033518A" w:rsidRDefault="0033518A" w:rsidP="0008141F"/>
          <w:p w:rsidR="0033518A" w:rsidRDefault="0033518A" w:rsidP="0008141F"/>
        </w:tc>
      </w:tr>
    </w:tbl>
    <w:p w:rsidR="004E6975" w:rsidRDefault="004E6975"/>
    <w:tbl>
      <w:tblPr>
        <w:tblStyle w:val="LightList-Accent4"/>
        <w:tblW w:w="0" w:type="auto"/>
        <w:tblBorders>
          <w:top w:val="single" w:sz="8" w:space="0" w:color="6A1A41"/>
          <w:left w:val="single" w:sz="8" w:space="0" w:color="6A1A41"/>
          <w:bottom w:val="single" w:sz="8" w:space="0" w:color="6A1A41"/>
          <w:right w:val="single" w:sz="8" w:space="0" w:color="6A1A41"/>
          <w:insideH w:val="single" w:sz="8" w:space="0" w:color="6A1A41"/>
          <w:insideV w:val="single" w:sz="8" w:space="0" w:color="6A1A41"/>
        </w:tblBorders>
        <w:tblLook w:val="04A0" w:firstRow="1" w:lastRow="0" w:firstColumn="1" w:lastColumn="0" w:noHBand="0" w:noVBand="1"/>
      </w:tblPr>
      <w:tblGrid>
        <w:gridCol w:w="3510"/>
      </w:tblGrid>
      <w:tr w:rsidR="0033518A" w:rsidTr="00F86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6A1A41"/>
          </w:tcPr>
          <w:p w:rsidR="0033518A" w:rsidRDefault="0033518A" w:rsidP="0008141F">
            <w:r>
              <w:t>STUDENT NAME</w:t>
            </w:r>
          </w:p>
        </w:tc>
      </w:tr>
      <w:tr w:rsidR="0033518A" w:rsidTr="00F8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518A" w:rsidRDefault="0033518A" w:rsidP="0008141F"/>
        </w:tc>
      </w:tr>
    </w:tbl>
    <w:tbl>
      <w:tblPr>
        <w:tblStyle w:val="LightList-Accent4"/>
        <w:tblpPr w:leftFromText="180" w:rightFromText="180" w:vertAnchor="text" w:horzAnchor="page" w:tblpX="5327" w:tblpY="-631"/>
        <w:tblW w:w="0" w:type="auto"/>
        <w:tblLook w:val="04A0" w:firstRow="1" w:lastRow="0" w:firstColumn="1" w:lastColumn="0" w:noHBand="0" w:noVBand="1"/>
      </w:tblPr>
      <w:tblGrid>
        <w:gridCol w:w="5093"/>
      </w:tblGrid>
      <w:tr w:rsidR="0033518A" w:rsidTr="00554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8" w:space="0" w:color="6A1A41"/>
              <w:left w:val="single" w:sz="8" w:space="0" w:color="6A1A41"/>
              <w:bottom w:val="single" w:sz="8" w:space="0" w:color="6A1A41"/>
              <w:right w:val="single" w:sz="8" w:space="0" w:color="6A1A41"/>
            </w:tcBorders>
            <w:shd w:val="clear" w:color="auto" w:fill="6A1A41"/>
          </w:tcPr>
          <w:p w:rsidR="0033518A" w:rsidRDefault="0033518A" w:rsidP="00554BEF">
            <w:r>
              <w:t>SUPERVISOR(S) NAME(S)</w:t>
            </w:r>
            <w:r w:rsidR="00AB46E8">
              <w:t xml:space="preserve"> / SIGNATURE(S)</w:t>
            </w:r>
            <w:r w:rsidR="00854F3F">
              <w:rPr>
                <w:rStyle w:val="FootnoteReference"/>
              </w:rPr>
              <w:footnoteReference w:id="1"/>
            </w:r>
          </w:p>
        </w:tc>
      </w:tr>
      <w:tr w:rsidR="0033518A" w:rsidTr="00554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8" w:space="0" w:color="6A1A41"/>
              <w:left w:val="single" w:sz="8" w:space="0" w:color="6A1A41"/>
              <w:bottom w:val="single" w:sz="8" w:space="0" w:color="6A1A41"/>
              <w:right w:val="single" w:sz="8" w:space="0" w:color="6A1A41"/>
            </w:tcBorders>
          </w:tcPr>
          <w:p w:rsidR="0033518A" w:rsidRDefault="0033518A" w:rsidP="00554BEF">
            <w:bookmarkStart w:id="0" w:name="_GoBack"/>
            <w:bookmarkEnd w:id="0"/>
          </w:p>
          <w:p w:rsidR="0033518A" w:rsidRDefault="0033518A" w:rsidP="00554BEF"/>
          <w:p w:rsidR="0033518A" w:rsidRDefault="0033518A" w:rsidP="00554BEF"/>
        </w:tc>
      </w:tr>
    </w:tbl>
    <w:p w:rsidR="0033518A" w:rsidRDefault="0033518A"/>
    <w:p w:rsidR="0033518A" w:rsidRDefault="0033518A"/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9006"/>
      </w:tblGrid>
      <w:tr w:rsidR="004E6975" w:rsidTr="00F86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8" w:space="0" w:color="6A1A41"/>
              <w:left w:val="single" w:sz="8" w:space="0" w:color="6A1A41"/>
              <w:bottom w:val="single" w:sz="8" w:space="0" w:color="6A1A41"/>
              <w:right w:val="single" w:sz="8" w:space="0" w:color="6A1A41"/>
            </w:tcBorders>
            <w:shd w:val="clear" w:color="auto" w:fill="6A1A41"/>
          </w:tcPr>
          <w:p w:rsidR="004E6975" w:rsidRDefault="004E6975">
            <w:r>
              <w:t>BACKGROUND</w:t>
            </w:r>
          </w:p>
        </w:tc>
      </w:tr>
      <w:tr w:rsidR="004E6975" w:rsidTr="00F8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8" w:space="0" w:color="6A1A41"/>
              <w:left w:val="single" w:sz="8" w:space="0" w:color="6A1A41"/>
              <w:bottom w:val="single" w:sz="8" w:space="0" w:color="6A1A41"/>
              <w:right w:val="single" w:sz="8" w:space="0" w:color="6A1A41"/>
            </w:tcBorders>
          </w:tcPr>
          <w:p w:rsidR="004E6975" w:rsidRDefault="004E6975"/>
          <w:p w:rsidR="004E6975" w:rsidRDefault="004E6975"/>
          <w:p w:rsidR="004E6975" w:rsidRDefault="004E6975"/>
          <w:p w:rsidR="004E6975" w:rsidRDefault="004E6975"/>
          <w:p w:rsidR="004E6975" w:rsidRDefault="004E6975"/>
          <w:p w:rsidR="004E6975" w:rsidRDefault="004E6975"/>
          <w:p w:rsidR="004E6975" w:rsidRDefault="004E6975"/>
          <w:p w:rsidR="004E6975" w:rsidRDefault="004E6975"/>
          <w:p w:rsidR="004E6975" w:rsidRDefault="004E6975"/>
          <w:p w:rsidR="004E6975" w:rsidRDefault="004E6975"/>
          <w:p w:rsidR="004E6975" w:rsidRDefault="004E6975"/>
          <w:p w:rsidR="004E6975" w:rsidRDefault="004E6975"/>
        </w:tc>
      </w:tr>
    </w:tbl>
    <w:p w:rsidR="004E6975" w:rsidRDefault="004E6975"/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9006"/>
      </w:tblGrid>
      <w:tr w:rsidR="004E6975" w:rsidTr="00F86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8" w:space="0" w:color="6A1A41"/>
              <w:left w:val="single" w:sz="8" w:space="0" w:color="6A1A41"/>
              <w:bottom w:val="single" w:sz="8" w:space="0" w:color="6A1A41"/>
              <w:right w:val="single" w:sz="8" w:space="0" w:color="6A1A41"/>
            </w:tcBorders>
            <w:shd w:val="clear" w:color="auto" w:fill="6A1A41"/>
          </w:tcPr>
          <w:p w:rsidR="004E6975" w:rsidRDefault="004E6975" w:rsidP="0008141F">
            <w:r>
              <w:t>OBJECTIVES</w:t>
            </w:r>
          </w:p>
        </w:tc>
      </w:tr>
      <w:tr w:rsidR="004E6975" w:rsidTr="00F8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8" w:space="0" w:color="6A1A41"/>
              <w:left w:val="single" w:sz="8" w:space="0" w:color="6A1A41"/>
              <w:bottom w:val="single" w:sz="8" w:space="0" w:color="6A1A41"/>
              <w:right w:val="single" w:sz="8" w:space="0" w:color="6A1A41"/>
            </w:tcBorders>
          </w:tcPr>
          <w:p w:rsidR="004E6975" w:rsidRDefault="004E6975" w:rsidP="0008141F"/>
          <w:p w:rsidR="004E6975" w:rsidRDefault="004E6975" w:rsidP="0008141F"/>
          <w:p w:rsidR="004E6975" w:rsidRDefault="004E6975" w:rsidP="0008141F"/>
          <w:p w:rsidR="004E6975" w:rsidRDefault="004E6975" w:rsidP="0008141F"/>
          <w:p w:rsidR="004E6975" w:rsidRDefault="004E6975" w:rsidP="0008141F"/>
          <w:p w:rsidR="004E6975" w:rsidRDefault="004E6975" w:rsidP="0008141F"/>
          <w:p w:rsidR="004E6975" w:rsidRDefault="004E6975" w:rsidP="0008141F"/>
          <w:p w:rsidR="004E6975" w:rsidRDefault="004E6975" w:rsidP="0008141F"/>
          <w:p w:rsidR="004E6975" w:rsidRDefault="004E6975" w:rsidP="0008141F"/>
          <w:p w:rsidR="004E6975" w:rsidRDefault="004E6975" w:rsidP="0008141F"/>
          <w:p w:rsidR="004E6975" w:rsidRDefault="004E6975" w:rsidP="0008141F"/>
          <w:p w:rsidR="004E6975" w:rsidRDefault="004E6975" w:rsidP="0008141F"/>
        </w:tc>
      </w:tr>
    </w:tbl>
    <w:p w:rsidR="0033518A" w:rsidRDefault="0033518A"/>
    <w:tbl>
      <w:tblPr>
        <w:tblStyle w:val="LightList-Accent4"/>
        <w:tblW w:w="0" w:type="auto"/>
        <w:tblBorders>
          <w:top w:val="single" w:sz="8" w:space="0" w:color="6A1A41"/>
          <w:left w:val="single" w:sz="8" w:space="0" w:color="6A1A41"/>
          <w:bottom w:val="single" w:sz="8" w:space="0" w:color="6A1A41"/>
          <w:right w:val="single" w:sz="8" w:space="0" w:color="6A1A41"/>
        </w:tblBorders>
        <w:tblLook w:val="04A0" w:firstRow="1" w:lastRow="0" w:firstColumn="1" w:lastColumn="0" w:noHBand="0" w:noVBand="1"/>
      </w:tblPr>
      <w:tblGrid>
        <w:gridCol w:w="9006"/>
      </w:tblGrid>
      <w:tr w:rsidR="004E6975" w:rsidTr="00F86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8" w:space="0" w:color="6A1A41"/>
              <w:bottom w:val="nil"/>
            </w:tcBorders>
            <w:shd w:val="clear" w:color="auto" w:fill="6A1A41"/>
          </w:tcPr>
          <w:p w:rsidR="004E6975" w:rsidRDefault="004E6975" w:rsidP="0008141F">
            <w:r>
              <w:t>WORK TO BE DONE</w:t>
            </w:r>
          </w:p>
        </w:tc>
      </w:tr>
      <w:tr w:rsidR="004E6975" w:rsidTr="00F8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6975" w:rsidRDefault="004E6975" w:rsidP="0008141F"/>
          <w:p w:rsidR="004E6975" w:rsidRDefault="004E6975" w:rsidP="0008141F"/>
          <w:p w:rsidR="004E6975" w:rsidRDefault="004E6975" w:rsidP="0008141F"/>
          <w:p w:rsidR="004E6975" w:rsidRDefault="004E6975" w:rsidP="0008141F"/>
          <w:p w:rsidR="004E6975" w:rsidRDefault="004E6975" w:rsidP="0008141F"/>
          <w:p w:rsidR="004E6975" w:rsidRDefault="004E6975" w:rsidP="0008141F"/>
          <w:p w:rsidR="004E6975" w:rsidRDefault="004E6975" w:rsidP="0008141F"/>
          <w:p w:rsidR="004E6975" w:rsidRDefault="004E6975" w:rsidP="0008141F"/>
          <w:p w:rsidR="004E6975" w:rsidRDefault="004E6975" w:rsidP="0008141F"/>
          <w:p w:rsidR="004E6975" w:rsidRDefault="004E6975" w:rsidP="0008141F"/>
          <w:p w:rsidR="004E6975" w:rsidRDefault="004E6975" w:rsidP="0008141F"/>
          <w:p w:rsidR="004E6975" w:rsidRDefault="004E6975" w:rsidP="0008141F"/>
        </w:tc>
      </w:tr>
    </w:tbl>
    <w:p w:rsidR="0033518A" w:rsidRDefault="0033518A"/>
    <w:tbl>
      <w:tblPr>
        <w:tblStyle w:val="LightList-Accent4"/>
        <w:tblW w:w="0" w:type="auto"/>
        <w:tblBorders>
          <w:top w:val="single" w:sz="8" w:space="0" w:color="6A1A41"/>
          <w:left w:val="single" w:sz="8" w:space="0" w:color="6A1A41"/>
          <w:bottom w:val="single" w:sz="8" w:space="0" w:color="6A1A41"/>
          <w:right w:val="single" w:sz="8" w:space="0" w:color="6A1A41"/>
        </w:tblBorders>
        <w:tblLook w:val="04A0" w:firstRow="1" w:lastRow="0" w:firstColumn="1" w:lastColumn="0" w:noHBand="0" w:noVBand="1"/>
      </w:tblPr>
      <w:tblGrid>
        <w:gridCol w:w="9006"/>
      </w:tblGrid>
      <w:tr w:rsidR="0033518A" w:rsidTr="00F86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8" w:space="0" w:color="6A1A41"/>
              <w:bottom w:val="nil"/>
            </w:tcBorders>
            <w:shd w:val="clear" w:color="auto" w:fill="6A1A41"/>
          </w:tcPr>
          <w:p w:rsidR="0033518A" w:rsidRDefault="0033518A" w:rsidP="0008141F">
            <w:r>
              <w:t>METHODS TO BE USED</w:t>
            </w:r>
          </w:p>
        </w:tc>
      </w:tr>
      <w:tr w:rsidR="0033518A" w:rsidTr="00F8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518A" w:rsidRDefault="0033518A" w:rsidP="0008141F"/>
          <w:p w:rsidR="0033518A" w:rsidRDefault="0033518A" w:rsidP="0008141F"/>
          <w:p w:rsidR="0033518A" w:rsidRDefault="0033518A" w:rsidP="0008141F"/>
          <w:p w:rsidR="0033518A" w:rsidRDefault="0033518A" w:rsidP="0008141F"/>
          <w:p w:rsidR="0033518A" w:rsidRDefault="0033518A" w:rsidP="0008141F"/>
          <w:p w:rsidR="0033518A" w:rsidRDefault="0033518A" w:rsidP="0008141F"/>
          <w:p w:rsidR="0033518A" w:rsidRDefault="0033518A" w:rsidP="0008141F"/>
          <w:p w:rsidR="0033518A" w:rsidRDefault="0033518A" w:rsidP="0008141F"/>
          <w:p w:rsidR="0033518A" w:rsidRDefault="0033518A" w:rsidP="0008141F"/>
        </w:tc>
      </w:tr>
    </w:tbl>
    <w:p w:rsidR="0033518A" w:rsidRDefault="0033518A"/>
    <w:tbl>
      <w:tblPr>
        <w:tblStyle w:val="LightList-Accent4"/>
        <w:tblW w:w="0" w:type="auto"/>
        <w:tblBorders>
          <w:top w:val="single" w:sz="8" w:space="0" w:color="6A1A41"/>
          <w:left w:val="single" w:sz="8" w:space="0" w:color="6A1A41"/>
          <w:bottom w:val="single" w:sz="8" w:space="0" w:color="6A1A41"/>
          <w:right w:val="single" w:sz="8" w:space="0" w:color="6A1A41"/>
        </w:tblBorders>
        <w:tblLook w:val="04A0" w:firstRow="1" w:lastRow="0" w:firstColumn="1" w:lastColumn="0" w:noHBand="0" w:noVBand="1"/>
      </w:tblPr>
      <w:tblGrid>
        <w:gridCol w:w="9006"/>
      </w:tblGrid>
      <w:tr w:rsidR="0033518A" w:rsidTr="00F86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8" w:space="0" w:color="6A1A41"/>
              <w:bottom w:val="nil"/>
            </w:tcBorders>
            <w:shd w:val="clear" w:color="auto" w:fill="6A1A41"/>
          </w:tcPr>
          <w:p w:rsidR="0033518A" w:rsidRDefault="0033518A" w:rsidP="0008141F">
            <w:r>
              <w:t>NOVEL ASPECTS</w:t>
            </w:r>
          </w:p>
        </w:tc>
      </w:tr>
      <w:tr w:rsidR="0033518A" w:rsidTr="00F8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518A" w:rsidRDefault="0033518A" w:rsidP="0008141F"/>
          <w:p w:rsidR="0033518A" w:rsidRDefault="0033518A" w:rsidP="0008141F"/>
          <w:p w:rsidR="0033518A" w:rsidRDefault="0033518A" w:rsidP="0008141F"/>
          <w:p w:rsidR="0033518A" w:rsidRDefault="0033518A" w:rsidP="0008141F"/>
          <w:p w:rsidR="0033518A" w:rsidRDefault="0033518A" w:rsidP="0008141F"/>
          <w:p w:rsidR="0033518A" w:rsidRDefault="0033518A" w:rsidP="0008141F"/>
          <w:p w:rsidR="0033518A" w:rsidRDefault="0033518A" w:rsidP="0008141F"/>
          <w:p w:rsidR="0033518A" w:rsidRDefault="0033518A" w:rsidP="0008141F"/>
          <w:p w:rsidR="0033518A" w:rsidRDefault="0033518A" w:rsidP="0008141F"/>
        </w:tc>
      </w:tr>
    </w:tbl>
    <w:p w:rsidR="0033518A" w:rsidRDefault="0033518A"/>
    <w:tbl>
      <w:tblPr>
        <w:tblStyle w:val="LightList-Accent4"/>
        <w:tblW w:w="0" w:type="auto"/>
        <w:tblBorders>
          <w:top w:val="single" w:sz="8" w:space="0" w:color="6A1A41"/>
          <w:left w:val="single" w:sz="8" w:space="0" w:color="6A1A41"/>
          <w:bottom w:val="single" w:sz="8" w:space="0" w:color="6A1A41"/>
          <w:right w:val="single" w:sz="8" w:space="0" w:color="6A1A41"/>
        </w:tblBorders>
        <w:tblLook w:val="04A0" w:firstRow="1" w:lastRow="0" w:firstColumn="1" w:lastColumn="0" w:noHBand="0" w:noVBand="1"/>
      </w:tblPr>
      <w:tblGrid>
        <w:gridCol w:w="9006"/>
      </w:tblGrid>
      <w:tr w:rsidR="0033518A" w:rsidTr="00F86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8" w:space="0" w:color="6A1A41"/>
              <w:bottom w:val="nil"/>
            </w:tcBorders>
            <w:shd w:val="clear" w:color="auto" w:fill="6A1A41"/>
          </w:tcPr>
          <w:p w:rsidR="0033518A" w:rsidRDefault="0033518A" w:rsidP="0008141F">
            <w:r>
              <w:t>SCIENTIFIC OR ENGINEERING THEORETICAL ISSUE(S) ADDRESSED</w:t>
            </w:r>
          </w:p>
        </w:tc>
      </w:tr>
      <w:tr w:rsidR="0033518A" w:rsidTr="00F8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518A" w:rsidRDefault="0033518A" w:rsidP="0008141F"/>
          <w:p w:rsidR="0033518A" w:rsidRDefault="0033518A" w:rsidP="0008141F"/>
          <w:p w:rsidR="0033518A" w:rsidRDefault="0033518A" w:rsidP="0008141F"/>
          <w:p w:rsidR="0033518A" w:rsidRDefault="0033518A" w:rsidP="0008141F"/>
          <w:p w:rsidR="0033518A" w:rsidRDefault="0033518A" w:rsidP="0008141F"/>
          <w:p w:rsidR="0033518A" w:rsidRDefault="0033518A" w:rsidP="0008141F"/>
          <w:p w:rsidR="0033518A" w:rsidRDefault="0033518A" w:rsidP="0008141F"/>
          <w:p w:rsidR="0033518A" w:rsidRDefault="0033518A" w:rsidP="0008141F"/>
        </w:tc>
      </w:tr>
    </w:tbl>
    <w:p w:rsidR="003070DD" w:rsidRDefault="003070DD" w:rsidP="00A009EF">
      <w:pPr>
        <w:pStyle w:val="Default"/>
        <w:jc w:val="center"/>
        <w:rPr>
          <w:b/>
        </w:rPr>
      </w:pPr>
    </w:p>
    <w:p w:rsidR="00A009EF" w:rsidRPr="003070DD" w:rsidRDefault="00A009EF" w:rsidP="00A009EF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3070DD">
        <w:rPr>
          <w:rFonts w:asciiTheme="minorHAnsi" w:hAnsiTheme="minorHAnsi"/>
          <w:b/>
          <w:sz w:val="28"/>
          <w:szCs w:val="28"/>
        </w:rPr>
        <w:lastRenderedPageBreak/>
        <w:t>Appendix I</w:t>
      </w:r>
    </w:p>
    <w:p w:rsidR="00A009EF" w:rsidRPr="003070DD" w:rsidRDefault="00A009EF" w:rsidP="00A009EF">
      <w:pPr>
        <w:pStyle w:val="Default"/>
        <w:jc w:val="center"/>
        <w:rPr>
          <w:rFonts w:asciiTheme="minorHAnsi" w:hAnsiTheme="minorHAnsi"/>
          <w:sz w:val="36"/>
          <w:szCs w:val="36"/>
        </w:rPr>
      </w:pPr>
      <w:r w:rsidRPr="003070DD">
        <w:rPr>
          <w:rFonts w:asciiTheme="minorHAnsi" w:hAnsiTheme="minorHAnsi"/>
          <w:b/>
          <w:bCs/>
          <w:sz w:val="36"/>
          <w:szCs w:val="36"/>
        </w:rPr>
        <w:t>Postgraduate Academic Charter</w:t>
      </w:r>
    </w:p>
    <w:p w:rsidR="00A009EF" w:rsidRPr="003070DD" w:rsidRDefault="00A009EF" w:rsidP="00A009EF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009EF" w:rsidRPr="003070DD" w:rsidRDefault="00A009EF" w:rsidP="00A009EF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>The University and the Postgraduate Student Association (P.S.A.) are committed to supporting the development of a partnership between faculty and students, which upholds the principles espoused in this charter. All postgraduate students are entitled to representation by the P.S.A. on University bodies that make policy co</w:t>
      </w:r>
      <w:r w:rsidR="003070DD" w:rsidRPr="003070DD">
        <w:rPr>
          <w:rFonts w:asciiTheme="minorHAnsi" w:hAnsiTheme="minorHAnsi"/>
          <w:sz w:val="23"/>
          <w:szCs w:val="23"/>
        </w:rPr>
        <w:t>ncerning postgraduate students.</w:t>
      </w:r>
    </w:p>
    <w:p w:rsidR="003070DD" w:rsidRPr="003070DD" w:rsidRDefault="003070DD" w:rsidP="00A009EF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009EF" w:rsidRPr="003070DD" w:rsidRDefault="00A009EF" w:rsidP="00A009EF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b/>
          <w:bCs/>
          <w:sz w:val="23"/>
          <w:szCs w:val="23"/>
        </w:rPr>
        <w:t xml:space="preserve">Responsibilities of Students and Supervisors </w:t>
      </w:r>
    </w:p>
    <w:p w:rsidR="00A009EF" w:rsidRPr="003070DD" w:rsidRDefault="00A009EF" w:rsidP="003070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Students and supervisors are expected by the University to work together in partnership and should at all times maintain a professional working relationship </w:t>
      </w:r>
    </w:p>
    <w:p w:rsidR="00A009EF" w:rsidRPr="003070DD" w:rsidRDefault="00A009EF" w:rsidP="003070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Students undertaking postgraduate research will have been informed before accepting an offer of a place, as to who has agreed to be their supervisor, and the supervisor and student should then agree the terms and conditions of the research; </w:t>
      </w:r>
    </w:p>
    <w:p w:rsidR="00A009EF" w:rsidRPr="003070DD" w:rsidRDefault="00A009EF" w:rsidP="003070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Supervisors must have a good working knowledge of the subject matter and ideally should be publishing in the area of the student's interest, unless new faculty, wherein a second supervisor should be assigned to provide additional support; </w:t>
      </w:r>
    </w:p>
    <w:p w:rsidR="00A009EF" w:rsidRPr="003070DD" w:rsidRDefault="00A009EF" w:rsidP="003070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Students will receive clear details of the University’s academic regulations on enrolment; </w:t>
      </w:r>
    </w:p>
    <w:p w:rsidR="00A009EF" w:rsidRPr="003070DD" w:rsidRDefault="00A009EF" w:rsidP="003070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Students will be allocated a departmental postgraduate adviser, who will meet with the student at the beginning of each academic year to discuss progress and any issues that the student may like to raise; </w:t>
      </w:r>
    </w:p>
    <w:p w:rsidR="00A009EF" w:rsidRPr="003070DD" w:rsidRDefault="00A009EF" w:rsidP="003070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Students and supervisors will be expected to arrange a regular schedule of meetings, agree deadlines for submission of written work, and students must follow the guidance provided by their supervisor; </w:t>
      </w:r>
    </w:p>
    <w:p w:rsidR="00A009EF" w:rsidRPr="003070DD" w:rsidRDefault="00A009EF" w:rsidP="003070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Students and supervisors shall complete a progress report on a twice-yearly basis, which will be discussed by the student and supervisor prior to the submission of the report to the head of department; </w:t>
      </w:r>
    </w:p>
    <w:p w:rsidR="00A009EF" w:rsidRPr="003070DD" w:rsidRDefault="00A009EF" w:rsidP="003070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In instances where a supervisor may be away from campus for more than one month, excluding the summer period, arrangements for supervision should be agreed between the supervisor and student; </w:t>
      </w:r>
    </w:p>
    <w:p w:rsidR="00A009EF" w:rsidRPr="003070DD" w:rsidRDefault="00A009EF" w:rsidP="003070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In cases where problems arise in the student-supervisor relationship the University will seek to address and resolve the issues as provided for in the academic regulations; </w:t>
      </w:r>
    </w:p>
    <w:p w:rsidR="00A009EF" w:rsidRPr="003070DD" w:rsidRDefault="00A009EF" w:rsidP="003070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Students shall acknowledge the supervisor’s role in their research; </w:t>
      </w:r>
    </w:p>
    <w:p w:rsidR="00A009EF" w:rsidRPr="003070DD" w:rsidRDefault="00A009EF" w:rsidP="003070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Students shall, where it is deemed appropriate, seek co-publication with their supervisor; </w:t>
      </w:r>
    </w:p>
    <w:p w:rsidR="00A009EF" w:rsidRPr="003070DD" w:rsidRDefault="00A009EF" w:rsidP="003070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Supervisors shall acknowledge a student's contribution in any presentation, publication or meeting, which involves the student's research work; </w:t>
      </w:r>
    </w:p>
    <w:p w:rsidR="00A009EF" w:rsidRPr="003070DD" w:rsidRDefault="00A009EF" w:rsidP="003070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Students shall conduct the research within the ethical standards of the discipline(s) and in accord with the standards detailed by the University and any other appropriate external agencies; </w:t>
      </w:r>
    </w:p>
    <w:p w:rsidR="00A009EF" w:rsidRPr="003070DD" w:rsidRDefault="00A009EF" w:rsidP="003070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>Students will be provided with the appropriate professional advice and support in developing their academ</w:t>
      </w:r>
      <w:r w:rsidR="003070DD" w:rsidRPr="003070DD">
        <w:rPr>
          <w:rFonts w:asciiTheme="minorHAnsi" w:hAnsiTheme="minorHAnsi"/>
          <w:sz w:val="23"/>
          <w:szCs w:val="23"/>
        </w:rPr>
        <w:t>ic skills and career prospects.</w:t>
      </w:r>
    </w:p>
    <w:p w:rsidR="003070DD" w:rsidRPr="003070DD" w:rsidRDefault="003070DD" w:rsidP="00A009EF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009EF" w:rsidRPr="003070DD" w:rsidRDefault="00A009EF" w:rsidP="00A009EF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b/>
          <w:bCs/>
          <w:sz w:val="23"/>
          <w:szCs w:val="23"/>
        </w:rPr>
        <w:t xml:space="preserve">Responsibilities of Departments and the University </w:t>
      </w:r>
    </w:p>
    <w:p w:rsidR="00A009EF" w:rsidRPr="003070DD" w:rsidRDefault="00A009EF" w:rsidP="003070D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The University will provide full-time research students with desk space, with graduate centres, departments, research centres or institutes responsible for ensuring students have access to computing and printing facilities; </w:t>
      </w:r>
    </w:p>
    <w:p w:rsidR="00A009EF" w:rsidRPr="003070DD" w:rsidRDefault="00A009EF" w:rsidP="003070DD">
      <w:pPr>
        <w:pStyle w:val="Default"/>
        <w:pageBreakBefore/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lastRenderedPageBreak/>
        <w:t xml:space="preserve">Students should have access to graduate centre, department, research centre or institute facilities, such as telephones and photocopiers, for research purposes; </w:t>
      </w:r>
    </w:p>
    <w:p w:rsidR="00A009EF" w:rsidRPr="003070DD" w:rsidRDefault="00A009EF" w:rsidP="003070D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Students should be provided with graduate facilities in the library, including an agreed number of inter-library loans and photocopy allowance, where necessary for undertaking research; </w:t>
      </w:r>
    </w:p>
    <w:p w:rsidR="00A009EF" w:rsidRPr="003070DD" w:rsidRDefault="00A009EF" w:rsidP="003070D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Students should be made aware of the financial support available from the graduate centre, department, research centre or institute to undertake field research and to present papers at academic conferences; </w:t>
      </w:r>
    </w:p>
    <w:p w:rsidR="00A009EF" w:rsidRPr="003070DD" w:rsidRDefault="00A009EF" w:rsidP="003070D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Students should be informed in writing of departmental requirements and expectations with respect to demonstrating, tutoring or other academic work; </w:t>
      </w:r>
    </w:p>
    <w:p w:rsidR="00A009EF" w:rsidRPr="003070DD" w:rsidRDefault="00A009EF" w:rsidP="003070D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Full time research students on stipends are expected as a part of their duties to undertake up to 6-7 hours per week of demonstrating, tutoring or other duties assigned by the head of department; </w:t>
      </w:r>
    </w:p>
    <w:p w:rsidR="00A009EF" w:rsidRPr="003070DD" w:rsidRDefault="00A009EF" w:rsidP="003070D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Students not on stipends should be made aware of teaching and other employment opportunities that may exist from time to time in departments and research centres; </w:t>
      </w:r>
    </w:p>
    <w:p w:rsidR="00A009EF" w:rsidRPr="003070DD" w:rsidRDefault="00A009EF" w:rsidP="003070D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All students involved in tutoring or demonstrating should be provided with training and support in undertaking teaching activities, as well as receiving formal recognition for their teaching contribution; </w:t>
      </w:r>
    </w:p>
    <w:p w:rsidR="00A009EF" w:rsidRPr="003070DD" w:rsidRDefault="00A009EF" w:rsidP="003070D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Departments should nominate a faculty member to co-ordinate postgraduate teaching and demonstrating, to arrange training and to provide feedback; </w:t>
      </w:r>
    </w:p>
    <w:p w:rsidR="00A009EF" w:rsidRPr="003070DD" w:rsidRDefault="00A009EF" w:rsidP="003070D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Students involved in laboratory work will receive safety training in manual handling, chemical handling and basic first aid at the beginning of their studies; </w:t>
      </w:r>
    </w:p>
    <w:p w:rsidR="00A009EF" w:rsidRPr="003070DD" w:rsidRDefault="00A009EF" w:rsidP="003070D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A grievance protocol specific to demonstration, teaching and tutorials should be available. </w:t>
      </w:r>
    </w:p>
    <w:p w:rsidR="003070DD" w:rsidRPr="003070DD" w:rsidRDefault="003070DD" w:rsidP="00A009EF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009EF" w:rsidRPr="003070DD" w:rsidRDefault="00A009EF" w:rsidP="00A009EF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b/>
          <w:bCs/>
          <w:sz w:val="23"/>
          <w:szCs w:val="23"/>
        </w:rPr>
        <w:t xml:space="preserve">Taught Postgraduate Programmes </w:t>
      </w:r>
    </w:p>
    <w:p w:rsidR="00A009EF" w:rsidRPr="003070DD" w:rsidRDefault="00A009EF" w:rsidP="003070D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Students should be provided with full and detailed information about their programme of study, including the nature and goals of the programme, and any prerequisite skills and knowledge required; </w:t>
      </w:r>
    </w:p>
    <w:p w:rsidR="00A009EF" w:rsidRPr="003070DD" w:rsidRDefault="00A009EF" w:rsidP="003070D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An introduction and orientation should </w:t>
      </w:r>
      <w:proofErr w:type="spellStart"/>
      <w:r w:rsidRPr="003070DD">
        <w:rPr>
          <w:rFonts w:asciiTheme="minorHAnsi" w:hAnsiTheme="minorHAnsi"/>
          <w:sz w:val="23"/>
          <w:szCs w:val="23"/>
        </w:rPr>
        <w:t>given</w:t>
      </w:r>
      <w:proofErr w:type="spellEnd"/>
      <w:r w:rsidRPr="003070DD">
        <w:rPr>
          <w:rFonts w:asciiTheme="minorHAnsi" w:hAnsiTheme="minorHAnsi"/>
          <w:sz w:val="23"/>
          <w:szCs w:val="23"/>
        </w:rPr>
        <w:t xml:space="preserve"> by both faculty and graduates (where available) of the programme by the first week of the semester, including the provision of course outlines and any specific course regulations; </w:t>
      </w:r>
    </w:p>
    <w:p w:rsidR="00A009EF" w:rsidRPr="003070DD" w:rsidRDefault="00A009EF" w:rsidP="003070D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Students are responsible for ensuring that all registration procedures are completed prior to or during week one of each semester; </w:t>
      </w:r>
    </w:p>
    <w:p w:rsidR="00A009EF" w:rsidRPr="003070DD" w:rsidRDefault="00A009EF" w:rsidP="003070D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Project work undertaken on a programme should be clearly defined, well-planned and there should be adequate facilities to ensure its completion; </w:t>
      </w:r>
    </w:p>
    <w:p w:rsidR="00A009EF" w:rsidRPr="003070DD" w:rsidRDefault="00A009EF" w:rsidP="003070D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Students should be made aware of procedures and deadlines for the submission of all course work, projects and dissertations; </w:t>
      </w:r>
    </w:p>
    <w:p w:rsidR="00A009EF" w:rsidRPr="003070DD" w:rsidRDefault="00A009EF" w:rsidP="003070D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Departments should provide formal and informal avenues for student evaluation of programmes, including written evaluations and opportunities to meet with external examiners where feasible; </w:t>
      </w:r>
    </w:p>
    <w:p w:rsidR="00A009EF" w:rsidRDefault="00A009EF" w:rsidP="003070D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3"/>
          <w:szCs w:val="23"/>
        </w:rPr>
      </w:pPr>
      <w:r w:rsidRPr="003070DD">
        <w:rPr>
          <w:rFonts w:asciiTheme="minorHAnsi" w:hAnsiTheme="minorHAnsi"/>
          <w:sz w:val="23"/>
          <w:szCs w:val="23"/>
        </w:rPr>
        <w:t xml:space="preserve">Departments should ensure that students have the necessary facilities and access to resources to complete their programme of study. </w:t>
      </w:r>
    </w:p>
    <w:p w:rsidR="003070DD" w:rsidRPr="003070DD" w:rsidRDefault="003070DD" w:rsidP="00A009EF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AB46E8" w:rsidRPr="003070DD" w:rsidRDefault="00A009EF" w:rsidP="00A009EF">
      <w:pPr>
        <w:jc w:val="both"/>
      </w:pPr>
      <w:r w:rsidRPr="003070DD">
        <w:rPr>
          <w:sz w:val="23"/>
          <w:szCs w:val="23"/>
        </w:rPr>
        <w:t>Please consult the Handbook of Academic Administration for further details</w:t>
      </w:r>
    </w:p>
    <w:sectPr w:rsidR="00AB46E8" w:rsidRPr="00307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89" w:rsidRDefault="00FA7989" w:rsidP="00854F3F">
      <w:pPr>
        <w:spacing w:after="0" w:line="240" w:lineRule="auto"/>
      </w:pPr>
      <w:r>
        <w:separator/>
      </w:r>
    </w:p>
  </w:endnote>
  <w:endnote w:type="continuationSeparator" w:id="0">
    <w:p w:rsidR="00FA7989" w:rsidRDefault="00FA7989" w:rsidP="0085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3F" w:rsidRDefault="00854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3F" w:rsidRDefault="00854F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3F" w:rsidRDefault="00854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89" w:rsidRDefault="00FA7989" w:rsidP="00854F3F">
      <w:pPr>
        <w:spacing w:after="0" w:line="240" w:lineRule="auto"/>
      </w:pPr>
      <w:r>
        <w:separator/>
      </w:r>
    </w:p>
  </w:footnote>
  <w:footnote w:type="continuationSeparator" w:id="0">
    <w:p w:rsidR="00FA7989" w:rsidRDefault="00FA7989" w:rsidP="00854F3F">
      <w:pPr>
        <w:spacing w:after="0" w:line="240" w:lineRule="auto"/>
      </w:pPr>
      <w:r>
        <w:continuationSeparator/>
      </w:r>
    </w:p>
  </w:footnote>
  <w:footnote w:id="1">
    <w:p w:rsidR="00854F3F" w:rsidRDefault="00854F3F" w:rsidP="00854F3F">
      <w:pPr>
        <w:pStyle w:val="Footer"/>
      </w:pPr>
      <w:r>
        <w:rPr>
          <w:rStyle w:val="FootnoteReference"/>
        </w:rPr>
        <w:footnoteRef/>
      </w:r>
      <w:r w:rsidR="004E6836">
        <w:t xml:space="preserve"> </w:t>
      </w:r>
      <w:r>
        <w:t>Supervisors signing agree to supervise the student and project, and adhere to the Postgraduate Academic Charter</w:t>
      </w:r>
      <w:r w:rsidR="003070DD">
        <w:t>,</w:t>
      </w:r>
      <w:r w:rsidR="004E6836">
        <w:t xml:space="preserve"> included in Appendix I</w:t>
      </w:r>
      <w:r w:rsidR="003070DD">
        <w:t xml:space="preserve"> of this form</w:t>
      </w:r>
      <w:r w:rsidR="004E6836">
        <w:t xml:space="preserve">. </w:t>
      </w:r>
    </w:p>
    <w:p w:rsidR="00854F3F" w:rsidRDefault="00854F3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3F" w:rsidRDefault="00854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3F" w:rsidRDefault="00854F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3F" w:rsidRDefault="00854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B9C"/>
    <w:multiLevelType w:val="hybridMultilevel"/>
    <w:tmpl w:val="CE3C51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451A6"/>
    <w:multiLevelType w:val="hybridMultilevel"/>
    <w:tmpl w:val="25C416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F2206"/>
    <w:multiLevelType w:val="hybridMultilevel"/>
    <w:tmpl w:val="CCB828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75"/>
    <w:rsid w:val="000623D2"/>
    <w:rsid w:val="000B6428"/>
    <w:rsid w:val="002003C8"/>
    <w:rsid w:val="003070DD"/>
    <w:rsid w:val="0033518A"/>
    <w:rsid w:val="00443FD7"/>
    <w:rsid w:val="00496E74"/>
    <w:rsid w:val="004E6836"/>
    <w:rsid w:val="004E6975"/>
    <w:rsid w:val="00554BEF"/>
    <w:rsid w:val="00644CB1"/>
    <w:rsid w:val="00841CFC"/>
    <w:rsid w:val="00854F3F"/>
    <w:rsid w:val="008815CE"/>
    <w:rsid w:val="009D12F2"/>
    <w:rsid w:val="00A009EF"/>
    <w:rsid w:val="00A50E24"/>
    <w:rsid w:val="00AB46E8"/>
    <w:rsid w:val="00B974F9"/>
    <w:rsid w:val="00DA112E"/>
    <w:rsid w:val="00F37BED"/>
    <w:rsid w:val="00F8662C"/>
    <w:rsid w:val="00FA7989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47A79-0BCC-4289-B943-EDBF292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4E697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54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F3F"/>
  </w:style>
  <w:style w:type="paragraph" w:styleId="Footer">
    <w:name w:val="footer"/>
    <w:basedOn w:val="Normal"/>
    <w:link w:val="FooterChar"/>
    <w:uiPriority w:val="99"/>
    <w:unhideWhenUsed/>
    <w:rsid w:val="00854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F3F"/>
  </w:style>
  <w:style w:type="paragraph" w:styleId="BalloonText">
    <w:name w:val="Balloon Text"/>
    <w:basedOn w:val="Normal"/>
    <w:link w:val="BalloonTextChar"/>
    <w:uiPriority w:val="99"/>
    <w:semiHidden/>
    <w:unhideWhenUsed/>
    <w:rsid w:val="0085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3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4F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4F3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4F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4F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F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F3F"/>
    <w:rPr>
      <w:vertAlign w:val="superscript"/>
    </w:rPr>
  </w:style>
  <w:style w:type="paragraph" w:customStyle="1" w:styleId="Default">
    <w:name w:val="Default"/>
    <w:rsid w:val="00A00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FE3B-4353-4026-A22C-C0A9A70B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ULStaff</dc:creator>
  <cp:lastModifiedBy>Eileen.Madden</cp:lastModifiedBy>
  <cp:revision>3</cp:revision>
  <dcterms:created xsi:type="dcterms:W3CDTF">2021-03-05T15:21:00Z</dcterms:created>
  <dcterms:modified xsi:type="dcterms:W3CDTF">2021-03-05T15:21:00Z</dcterms:modified>
</cp:coreProperties>
</file>