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644" w:rsidRDefault="00CF1644" w:rsidP="00CF1644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en-IE"/>
        </w:rPr>
        <w:drawing>
          <wp:inline distT="0" distB="0" distL="0" distR="0">
            <wp:extent cx="2826000" cy="145800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@UL_Logo_Standar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14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FE7" w:rsidRDefault="007E744B" w:rsidP="006F04D2">
      <w:pPr>
        <w:spacing w:after="0"/>
        <w:jc w:val="center"/>
        <w:rPr>
          <w:b/>
          <w:sz w:val="28"/>
          <w:szCs w:val="28"/>
        </w:rPr>
      </w:pPr>
      <w:r w:rsidRPr="007E744B">
        <w:rPr>
          <w:b/>
          <w:sz w:val="28"/>
          <w:szCs w:val="28"/>
        </w:rPr>
        <w:t>Module S</w:t>
      </w:r>
      <w:r w:rsidR="00CF1644">
        <w:rPr>
          <w:b/>
          <w:sz w:val="28"/>
          <w:szCs w:val="28"/>
        </w:rPr>
        <w:t xml:space="preserve">atisfaction Survey, </w:t>
      </w:r>
      <w:proofErr w:type="gramStart"/>
      <w:r w:rsidR="00CF1644">
        <w:rPr>
          <w:b/>
          <w:sz w:val="28"/>
          <w:szCs w:val="28"/>
        </w:rPr>
        <w:t>Autumn</w:t>
      </w:r>
      <w:proofErr w:type="gramEnd"/>
      <w:r w:rsidR="00CF1644">
        <w:rPr>
          <w:b/>
          <w:sz w:val="28"/>
          <w:szCs w:val="28"/>
        </w:rPr>
        <w:t xml:space="preserve"> 2014</w:t>
      </w:r>
    </w:p>
    <w:p w:rsidR="007E744B" w:rsidRPr="007E744B" w:rsidRDefault="00A43FE7" w:rsidP="006F04D2">
      <w:pPr>
        <w:spacing w:after="0"/>
        <w:jc w:val="center"/>
        <w:rPr>
          <w:b/>
          <w:sz w:val="28"/>
          <w:szCs w:val="28"/>
        </w:rPr>
      </w:pPr>
      <w:r w:rsidRPr="007E744B">
        <w:rPr>
          <w:b/>
          <w:sz w:val="28"/>
          <w:szCs w:val="28"/>
        </w:rPr>
        <w:t>Summary</w:t>
      </w:r>
      <w:r w:rsidR="007E744B" w:rsidRPr="007E744B">
        <w:rPr>
          <w:b/>
          <w:sz w:val="28"/>
          <w:szCs w:val="28"/>
        </w:rPr>
        <w:t xml:space="preserve"> of institutional-level findings</w:t>
      </w:r>
    </w:p>
    <w:p w:rsidR="00E3503C" w:rsidRPr="009C65AF" w:rsidRDefault="001A7017" w:rsidP="00EF0804">
      <w:pPr>
        <w:spacing w:after="0"/>
        <w:rPr>
          <w:b/>
        </w:rPr>
      </w:pPr>
      <w:r>
        <w:rPr>
          <w:b/>
        </w:rPr>
        <w:t>Introduction</w:t>
      </w:r>
    </w:p>
    <w:p w:rsidR="00063E30" w:rsidRDefault="00CF1644" w:rsidP="00EF0804">
      <w:pPr>
        <w:spacing w:after="0"/>
      </w:pPr>
      <w:r>
        <w:t xml:space="preserve">In accordance with published policy and procedures (accessible </w:t>
      </w:r>
      <w:hyperlink r:id="rId10" w:history="1">
        <w:r w:rsidRPr="00550C57">
          <w:rPr>
            <w:rStyle w:val="Hyperlink"/>
          </w:rPr>
          <w:t>here</w:t>
        </w:r>
      </w:hyperlink>
      <w:r>
        <w:t xml:space="preserve">), the </w:t>
      </w:r>
      <w:r w:rsidR="00613735">
        <w:t>University of Limerick regularly undertakes a module satisfaction survey</w:t>
      </w:r>
      <w:r w:rsidR="00447DE5">
        <w:t xml:space="preserve"> (MSS)</w:t>
      </w:r>
      <w:r w:rsidR="00750F7C">
        <w:t xml:space="preserve"> of </w:t>
      </w:r>
      <w:r>
        <w:t>UL students</w:t>
      </w:r>
      <w:r w:rsidR="00447DE5">
        <w:t>.</w:t>
      </w:r>
      <w:r>
        <w:t xml:space="preserve"> </w:t>
      </w:r>
      <w:r w:rsidR="00063E30">
        <w:t>In October</w:t>
      </w:r>
      <w:r w:rsidR="00447DE5">
        <w:t xml:space="preserve"> 2014</w:t>
      </w:r>
      <w:r>
        <w:t>,</w:t>
      </w:r>
      <w:r w:rsidR="00447DE5">
        <w:t xml:space="preserve"> MSS</w:t>
      </w:r>
      <w:r w:rsidR="00063E30">
        <w:t xml:space="preserve"> requests were distributed to UL students</w:t>
      </w:r>
      <w:r w:rsidR="00841D2F">
        <w:t xml:space="preserve"> </w:t>
      </w:r>
      <w:r>
        <w:t xml:space="preserve">who were </w:t>
      </w:r>
      <w:r w:rsidR="00841D2F">
        <w:t>undertaking one</w:t>
      </w:r>
      <w:r w:rsidR="00063E30">
        <w:t xml:space="preserve"> or more modules that </w:t>
      </w:r>
      <w:r>
        <w:t xml:space="preserve">semester. </w:t>
      </w:r>
      <w:r w:rsidR="00063E30">
        <w:t xml:space="preserve">This represented some 54,500 </w:t>
      </w:r>
      <w:r w:rsidR="000742A9">
        <w:t xml:space="preserve">individual </w:t>
      </w:r>
      <w:r w:rsidR="00063E30">
        <w:t>requests</w:t>
      </w:r>
      <w:r>
        <w:t xml:space="preserve"> to </w:t>
      </w:r>
      <w:r w:rsidR="00063E30">
        <w:t>over 13,000 students taking one or more of approximately</w:t>
      </w:r>
      <w:r w:rsidR="00750F7C">
        <w:t xml:space="preserve"> 1</w:t>
      </w:r>
      <w:r>
        <w:t>,</w:t>
      </w:r>
      <w:r w:rsidR="00750F7C">
        <w:t>200 modules on offer</w:t>
      </w:r>
      <w:r>
        <w:t xml:space="preserve">. </w:t>
      </w:r>
      <w:r w:rsidR="00AA02AD">
        <w:t xml:space="preserve">Some </w:t>
      </w:r>
      <w:r w:rsidR="00841D2F">
        <w:t>19</w:t>
      </w:r>
      <w:r w:rsidR="000742A9">
        <w:t>,</w:t>
      </w:r>
      <w:r w:rsidR="00AA02AD">
        <w:t>000</w:t>
      </w:r>
      <w:r w:rsidR="00841D2F">
        <w:t xml:space="preserve"> responses were </w:t>
      </w:r>
      <w:r w:rsidR="00AA02AD">
        <w:t>received,</w:t>
      </w:r>
      <w:r w:rsidR="000742A9">
        <w:t xml:space="preserve"> </w:t>
      </w:r>
      <w:r>
        <w:t>which represents an</w:t>
      </w:r>
      <w:r w:rsidR="00841D2F">
        <w:t xml:space="preserve"> overall response rate of 35%</w:t>
      </w:r>
      <w:r w:rsidR="000742A9">
        <w:t>.</w:t>
      </w:r>
      <w:r w:rsidR="00841D2F">
        <w:t xml:space="preserve"> </w:t>
      </w:r>
    </w:p>
    <w:p w:rsidR="00715FEA" w:rsidRDefault="00715FEA" w:rsidP="00DE76B3">
      <w:pPr>
        <w:spacing w:after="0"/>
        <w:rPr>
          <w:b/>
        </w:rPr>
      </w:pPr>
    </w:p>
    <w:p w:rsidR="00764EEE" w:rsidRPr="00DE76B3" w:rsidRDefault="001A7017" w:rsidP="00DE76B3">
      <w:pPr>
        <w:spacing w:after="0"/>
        <w:rPr>
          <w:b/>
        </w:rPr>
      </w:pPr>
      <w:r w:rsidRPr="00DE76B3">
        <w:rPr>
          <w:b/>
        </w:rPr>
        <w:t>Reporting structure</w:t>
      </w:r>
    </w:p>
    <w:p w:rsidR="00DE76B3" w:rsidRDefault="001A7017" w:rsidP="00DE76B3">
      <w:pPr>
        <w:pStyle w:val="ListParagraph"/>
        <w:numPr>
          <w:ilvl w:val="0"/>
          <w:numId w:val="7"/>
        </w:numPr>
        <w:spacing w:after="0"/>
      </w:pPr>
      <w:r>
        <w:t xml:space="preserve">Individual module </w:t>
      </w:r>
      <w:r w:rsidR="00DE76B3">
        <w:t>reports were</w:t>
      </w:r>
      <w:r>
        <w:t xml:space="preserve"> made available to the lecturer listed as </w:t>
      </w:r>
      <w:r w:rsidR="00F506DD">
        <w:t xml:space="preserve">being </w:t>
      </w:r>
      <w:r>
        <w:t>responsible</w:t>
      </w:r>
      <w:r w:rsidR="00DE76B3">
        <w:t xml:space="preserve"> for the module</w:t>
      </w:r>
      <w:r w:rsidR="00C06034">
        <w:t>.</w:t>
      </w:r>
    </w:p>
    <w:p w:rsidR="00DE76B3" w:rsidRDefault="00F506DD" w:rsidP="00DE76B3">
      <w:pPr>
        <w:pStyle w:val="ListParagraph"/>
        <w:numPr>
          <w:ilvl w:val="0"/>
          <w:numId w:val="7"/>
        </w:numPr>
        <w:spacing w:after="0"/>
      </w:pPr>
      <w:r>
        <w:t>Heads of d</w:t>
      </w:r>
      <w:r w:rsidR="00DE76B3">
        <w:t>epartm</w:t>
      </w:r>
      <w:r w:rsidR="00550C57">
        <w:t>ent received reports detailing</w:t>
      </w:r>
      <w:r>
        <w:t xml:space="preserve"> all d</w:t>
      </w:r>
      <w:r w:rsidR="00DE76B3">
        <w:t>epartmental mo</w:t>
      </w:r>
      <w:r w:rsidR="00550C57">
        <w:t>dules (copied to the</w:t>
      </w:r>
      <w:r w:rsidR="00DE76B3">
        <w:t xml:space="preserve"> faculty dean)</w:t>
      </w:r>
      <w:r w:rsidR="00C06034">
        <w:t>.</w:t>
      </w:r>
    </w:p>
    <w:p w:rsidR="001624E9" w:rsidRDefault="00DE76B3" w:rsidP="00DE76B3">
      <w:pPr>
        <w:pStyle w:val="ListParagraph"/>
        <w:numPr>
          <w:ilvl w:val="0"/>
          <w:numId w:val="7"/>
        </w:numPr>
        <w:spacing w:after="0"/>
      </w:pPr>
      <w:r>
        <w:t>Executive</w:t>
      </w:r>
      <w:r w:rsidR="00F506DD">
        <w:t xml:space="preserve"> C</w:t>
      </w:r>
      <w:r w:rsidR="000A6145">
        <w:t>ommittee received a</w:t>
      </w:r>
      <w:r w:rsidR="00F506DD">
        <w:t xml:space="preserve"> report</w:t>
      </w:r>
      <w:r>
        <w:t xml:space="preserve"> </w:t>
      </w:r>
      <w:r w:rsidR="00F506DD">
        <w:t>that summarised</w:t>
      </w:r>
      <w:r>
        <w:t xml:space="preserve"> departmental and faculty-level aggregate data. </w:t>
      </w:r>
    </w:p>
    <w:p w:rsidR="001A7017" w:rsidRDefault="00F506DD" w:rsidP="00DE76B3">
      <w:pPr>
        <w:pStyle w:val="ListParagraph"/>
        <w:numPr>
          <w:ilvl w:val="0"/>
          <w:numId w:val="7"/>
        </w:numPr>
        <w:spacing w:after="0"/>
      </w:pPr>
      <w:r>
        <w:t xml:space="preserve">This </w:t>
      </w:r>
      <w:r w:rsidR="001624E9">
        <w:t>publically available</w:t>
      </w:r>
      <w:r>
        <w:t xml:space="preserve"> report</w:t>
      </w:r>
      <w:r w:rsidR="005F60ED">
        <w:t xml:space="preserve"> provides</w:t>
      </w:r>
      <w:r w:rsidR="00603189">
        <w:t xml:space="preserve"> a summary of institutional-level</w:t>
      </w:r>
      <w:r w:rsidR="00DC4ED4">
        <w:t xml:space="preserve"> survey findings.</w:t>
      </w:r>
    </w:p>
    <w:p w:rsidR="00D0396D" w:rsidRDefault="00D0396D" w:rsidP="00764EEE">
      <w:r>
        <w:rPr>
          <w:noProof/>
          <w:lang w:eastAsia="en-IE"/>
        </w:rPr>
        <w:drawing>
          <wp:anchor distT="0" distB="0" distL="114300" distR="114300" simplePos="0" relativeHeight="251676672" behindDoc="1" locked="0" layoutInCell="1" allowOverlap="1" wp14:anchorId="02DB78E7" wp14:editId="38B9DE9B">
            <wp:simplePos x="0" y="0"/>
            <wp:positionH relativeFrom="column">
              <wp:posOffset>3728720</wp:posOffset>
            </wp:positionH>
            <wp:positionV relativeFrom="paragraph">
              <wp:posOffset>160655</wp:posOffset>
            </wp:positionV>
            <wp:extent cx="2429510" cy="1913255"/>
            <wp:effectExtent l="0" t="0" r="8890" b="0"/>
            <wp:wrapTight wrapText="bothSides">
              <wp:wrapPolygon edited="0">
                <wp:start x="0" y="0"/>
                <wp:lineTo x="0" y="21292"/>
                <wp:lineTo x="21510" y="21292"/>
                <wp:lineTo x="21510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510" cy="191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017" w:rsidRPr="00DE76B3" w:rsidRDefault="00C31612" w:rsidP="00CF1644">
      <w:pPr>
        <w:spacing w:after="0"/>
        <w:rPr>
          <w:b/>
        </w:rPr>
      </w:pPr>
      <w:r>
        <w:rPr>
          <w:b/>
        </w:rPr>
        <w:t>Institutional-</w:t>
      </w:r>
      <w:r w:rsidR="00555F9C">
        <w:rPr>
          <w:b/>
        </w:rPr>
        <w:t>level s</w:t>
      </w:r>
      <w:r w:rsidR="00DE76B3" w:rsidRPr="00DE76B3">
        <w:rPr>
          <w:b/>
        </w:rPr>
        <w:t>ummary findings</w:t>
      </w:r>
    </w:p>
    <w:p w:rsidR="00F506DD" w:rsidRDefault="00555F9C" w:rsidP="00F506DD">
      <w:pPr>
        <w:spacing w:after="0"/>
      </w:pPr>
      <w:r>
        <w:t>In the case of</w:t>
      </w:r>
      <w:r w:rsidR="007536E8">
        <w:t xml:space="preserve"> MSS question 1</w:t>
      </w:r>
      <w:r w:rsidR="00F506DD">
        <w:t xml:space="preserve"> (“</w:t>
      </w:r>
      <w:r w:rsidR="00F506DD" w:rsidRPr="00F506DD">
        <w:t xml:space="preserve">All things considered, how do </w:t>
      </w:r>
    </w:p>
    <w:p w:rsidR="00764EEE" w:rsidRPr="00D0396D" w:rsidRDefault="00F506DD" w:rsidP="00764EEE">
      <w:proofErr w:type="gramStart"/>
      <w:r>
        <w:t>you</w:t>
      </w:r>
      <w:proofErr w:type="gramEnd"/>
      <w:r>
        <w:t xml:space="preserve"> </w:t>
      </w:r>
      <w:r w:rsidRPr="00F506DD">
        <w:t>feel about this module?”)</w:t>
      </w:r>
      <w:r w:rsidR="007536E8">
        <w:t xml:space="preserve">, </w:t>
      </w:r>
      <w:r w:rsidR="00D0396D">
        <w:t>67</w:t>
      </w:r>
      <w:r w:rsidR="00555F9C">
        <w:t>% of respondents indica</w:t>
      </w:r>
      <w:r w:rsidR="001F6D5A">
        <w:t>ted satisfaction, 20% recorded a neutral</w:t>
      </w:r>
      <w:r>
        <w:t xml:space="preserve"> response and </w:t>
      </w:r>
      <w:r w:rsidR="00555F9C">
        <w:t xml:space="preserve">13% registered </w:t>
      </w:r>
      <w:r w:rsidR="00D0396D">
        <w:t>dissatisfaction</w:t>
      </w:r>
      <w:r>
        <w:t>.</w:t>
      </w:r>
    </w:p>
    <w:p w:rsidR="00063E30" w:rsidRDefault="00063E30" w:rsidP="00644937"/>
    <w:p w:rsidR="00CF1644" w:rsidRDefault="00CF1644" w:rsidP="00644937"/>
    <w:p w:rsidR="00D0396D" w:rsidRDefault="005F1003" w:rsidP="00644937">
      <w:r>
        <w:t>T</w:t>
      </w:r>
      <w:r w:rsidR="00836695">
        <w:t>he table below</w:t>
      </w:r>
      <w:r w:rsidR="00CF1644">
        <w:t xml:space="preserve"> summaris</w:t>
      </w:r>
      <w:r>
        <w:t xml:space="preserve">es the institutional average values </w:t>
      </w:r>
      <w:r w:rsidR="00A03D44">
        <w:t>recorded</w:t>
      </w:r>
      <w:r w:rsidR="00CF1644">
        <w:t xml:space="preserve">, on a scale of 1 to 5, </w:t>
      </w:r>
      <w:r w:rsidR="00A03D44">
        <w:t>for</w:t>
      </w:r>
      <w:r>
        <w:t xml:space="preserve"> each que</w:t>
      </w:r>
      <w:r w:rsidR="00CF1644">
        <w:t xml:space="preserve">stion </w:t>
      </w:r>
      <w:r w:rsidR="00671B0D">
        <w:t>and, in the case of question 2,</w:t>
      </w:r>
      <w:r w:rsidR="00CF1644">
        <w:t xml:space="preserve"> </w:t>
      </w:r>
      <w:r w:rsidR="00A03D44">
        <w:t>question component</w:t>
      </w:r>
      <w:r w:rsidR="00CF1644">
        <w:t xml:space="preserve"> </w:t>
      </w:r>
      <w:r w:rsidR="00544B24">
        <w:t>(1 = very dissatisfied, 5 = very satisfied).</w:t>
      </w:r>
      <w:r w:rsidR="00A03D44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812"/>
        <w:gridCol w:w="2835"/>
      </w:tblGrid>
      <w:tr w:rsidR="00836695" w:rsidTr="00F506DD">
        <w:tc>
          <w:tcPr>
            <w:tcW w:w="1809" w:type="dxa"/>
            <w:tcBorders>
              <w:bottom w:val="single" w:sz="4" w:space="0" w:color="auto"/>
            </w:tcBorders>
          </w:tcPr>
          <w:p w:rsidR="00836695" w:rsidRPr="00A05B4E" w:rsidRDefault="00836695" w:rsidP="00F506DD">
            <w:pPr>
              <w:spacing w:after="60"/>
              <w:rPr>
                <w:b/>
              </w:rPr>
            </w:pPr>
            <w:r w:rsidRPr="00A05B4E">
              <w:rPr>
                <w:b/>
              </w:rPr>
              <w:t>Question no.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836695" w:rsidRPr="00A05B4E" w:rsidRDefault="00CF1644" w:rsidP="00F506DD">
            <w:pPr>
              <w:spacing w:after="60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36695" w:rsidRPr="00A05B4E" w:rsidRDefault="00CF1644" w:rsidP="00F506DD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 xml:space="preserve">Institutional </w:t>
            </w:r>
            <w:r w:rsidR="00A05B4E">
              <w:rPr>
                <w:b/>
              </w:rPr>
              <w:t>average</w:t>
            </w:r>
            <w:r w:rsidR="00836695" w:rsidRPr="00A05B4E">
              <w:rPr>
                <w:b/>
              </w:rPr>
              <w:t xml:space="preserve"> </w:t>
            </w:r>
            <w:r>
              <w:rPr>
                <w:b/>
              </w:rPr>
              <w:t xml:space="preserve">score </w:t>
            </w:r>
          </w:p>
        </w:tc>
      </w:tr>
      <w:tr w:rsidR="00836695" w:rsidTr="00F506DD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836695" w:rsidRPr="00BF502B" w:rsidRDefault="00687374">
            <w:pPr>
              <w:rPr>
                <w:sz w:val="20"/>
                <w:szCs w:val="20"/>
              </w:rPr>
            </w:pPr>
            <w:r w:rsidRPr="00BF502B">
              <w:rPr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36695" w:rsidRPr="00BF502B" w:rsidRDefault="00687374">
            <w:pPr>
              <w:rPr>
                <w:sz w:val="20"/>
                <w:szCs w:val="20"/>
              </w:rPr>
            </w:pPr>
            <w:r w:rsidRPr="00BF502B">
              <w:rPr>
                <w:sz w:val="20"/>
                <w:szCs w:val="20"/>
              </w:rPr>
              <w:t>All things considered, how do you feel about this module?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36695" w:rsidRPr="00BF502B" w:rsidRDefault="001029EB" w:rsidP="00061060">
            <w:pPr>
              <w:jc w:val="center"/>
              <w:rPr>
                <w:sz w:val="20"/>
                <w:szCs w:val="20"/>
              </w:rPr>
            </w:pPr>
            <w:r w:rsidRPr="00BF502B">
              <w:rPr>
                <w:sz w:val="20"/>
                <w:szCs w:val="20"/>
              </w:rPr>
              <w:t>3.8</w:t>
            </w:r>
          </w:p>
        </w:tc>
      </w:tr>
      <w:tr w:rsidR="00836695" w:rsidTr="00F506DD">
        <w:tc>
          <w:tcPr>
            <w:tcW w:w="1809" w:type="dxa"/>
            <w:tcBorders>
              <w:top w:val="single" w:sz="4" w:space="0" w:color="auto"/>
            </w:tcBorders>
          </w:tcPr>
          <w:p w:rsidR="00836695" w:rsidRPr="00BF502B" w:rsidRDefault="00687374">
            <w:pPr>
              <w:rPr>
                <w:sz w:val="20"/>
                <w:szCs w:val="20"/>
              </w:rPr>
            </w:pPr>
            <w:r w:rsidRPr="00BF502B">
              <w:rPr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836695" w:rsidRPr="00BF502B" w:rsidRDefault="00687374" w:rsidP="00687374">
            <w:pPr>
              <w:rPr>
                <w:sz w:val="20"/>
                <w:szCs w:val="20"/>
              </w:rPr>
            </w:pPr>
            <w:r w:rsidRPr="00BF502B">
              <w:rPr>
                <w:sz w:val="20"/>
                <w:szCs w:val="20"/>
              </w:rPr>
              <w:t>All things considered, how do you feel about each of the following aspects of this module?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36695" w:rsidRPr="00BF502B" w:rsidRDefault="00836695" w:rsidP="00061060">
            <w:pPr>
              <w:jc w:val="center"/>
              <w:rPr>
                <w:sz w:val="20"/>
                <w:szCs w:val="20"/>
              </w:rPr>
            </w:pPr>
          </w:p>
        </w:tc>
      </w:tr>
      <w:tr w:rsidR="00836695" w:rsidTr="00F506DD">
        <w:tc>
          <w:tcPr>
            <w:tcW w:w="1809" w:type="dxa"/>
          </w:tcPr>
          <w:p w:rsidR="00836695" w:rsidRPr="00BF502B" w:rsidRDefault="00687374">
            <w:pPr>
              <w:rPr>
                <w:sz w:val="20"/>
                <w:szCs w:val="20"/>
              </w:rPr>
            </w:pPr>
            <w:r w:rsidRPr="00BF502B">
              <w:rPr>
                <w:sz w:val="20"/>
                <w:szCs w:val="20"/>
              </w:rPr>
              <w:t>2 (a)</w:t>
            </w:r>
          </w:p>
        </w:tc>
        <w:tc>
          <w:tcPr>
            <w:tcW w:w="5812" w:type="dxa"/>
          </w:tcPr>
          <w:p w:rsidR="00836695" w:rsidRPr="00F506DD" w:rsidRDefault="0010683A" w:rsidP="00F506DD">
            <w:pPr>
              <w:pStyle w:val="ListParagraph"/>
              <w:numPr>
                <w:ilvl w:val="0"/>
                <w:numId w:val="8"/>
              </w:numPr>
              <w:ind w:left="601"/>
              <w:rPr>
                <w:sz w:val="20"/>
                <w:szCs w:val="20"/>
              </w:rPr>
            </w:pPr>
            <w:r w:rsidRPr="00F506DD">
              <w:rPr>
                <w:sz w:val="20"/>
                <w:szCs w:val="20"/>
              </w:rPr>
              <w:t>Content</w:t>
            </w:r>
          </w:p>
        </w:tc>
        <w:tc>
          <w:tcPr>
            <w:tcW w:w="2835" w:type="dxa"/>
          </w:tcPr>
          <w:p w:rsidR="00836695" w:rsidRPr="00BF502B" w:rsidRDefault="001029EB" w:rsidP="00061060">
            <w:pPr>
              <w:jc w:val="center"/>
              <w:rPr>
                <w:sz w:val="20"/>
                <w:szCs w:val="20"/>
              </w:rPr>
            </w:pPr>
            <w:r w:rsidRPr="00BF502B">
              <w:rPr>
                <w:sz w:val="20"/>
                <w:szCs w:val="20"/>
              </w:rPr>
              <w:t>3.8</w:t>
            </w:r>
          </w:p>
        </w:tc>
      </w:tr>
      <w:tr w:rsidR="00836695" w:rsidTr="00F506DD">
        <w:tc>
          <w:tcPr>
            <w:tcW w:w="1809" w:type="dxa"/>
          </w:tcPr>
          <w:p w:rsidR="00836695" w:rsidRPr="00BF502B" w:rsidRDefault="00687374">
            <w:pPr>
              <w:rPr>
                <w:sz w:val="20"/>
                <w:szCs w:val="20"/>
              </w:rPr>
            </w:pPr>
            <w:r w:rsidRPr="00BF502B">
              <w:rPr>
                <w:sz w:val="20"/>
                <w:szCs w:val="20"/>
              </w:rPr>
              <w:t>2 (b)</w:t>
            </w:r>
          </w:p>
        </w:tc>
        <w:tc>
          <w:tcPr>
            <w:tcW w:w="5812" w:type="dxa"/>
          </w:tcPr>
          <w:p w:rsidR="00836695" w:rsidRPr="00F506DD" w:rsidRDefault="006F2B5D" w:rsidP="00F506DD">
            <w:pPr>
              <w:pStyle w:val="ListParagraph"/>
              <w:numPr>
                <w:ilvl w:val="0"/>
                <w:numId w:val="8"/>
              </w:numPr>
              <w:ind w:left="601"/>
              <w:rPr>
                <w:sz w:val="20"/>
                <w:szCs w:val="20"/>
              </w:rPr>
            </w:pPr>
            <w:r w:rsidRPr="00F506DD">
              <w:rPr>
                <w:sz w:val="20"/>
                <w:szCs w:val="20"/>
              </w:rPr>
              <w:t>Difficulty</w:t>
            </w:r>
          </w:p>
        </w:tc>
        <w:tc>
          <w:tcPr>
            <w:tcW w:w="2835" w:type="dxa"/>
          </w:tcPr>
          <w:p w:rsidR="00836695" w:rsidRPr="00BF502B" w:rsidRDefault="001029EB" w:rsidP="00061060">
            <w:pPr>
              <w:jc w:val="center"/>
              <w:rPr>
                <w:sz w:val="20"/>
                <w:szCs w:val="20"/>
              </w:rPr>
            </w:pPr>
            <w:r w:rsidRPr="00BF502B">
              <w:rPr>
                <w:sz w:val="20"/>
                <w:szCs w:val="20"/>
              </w:rPr>
              <w:t>3.6</w:t>
            </w:r>
          </w:p>
        </w:tc>
      </w:tr>
      <w:tr w:rsidR="00836695" w:rsidTr="00F506DD">
        <w:tc>
          <w:tcPr>
            <w:tcW w:w="1809" w:type="dxa"/>
          </w:tcPr>
          <w:p w:rsidR="00836695" w:rsidRPr="00BF502B" w:rsidRDefault="00687374">
            <w:pPr>
              <w:rPr>
                <w:sz w:val="20"/>
                <w:szCs w:val="20"/>
              </w:rPr>
            </w:pPr>
            <w:r w:rsidRPr="00BF502B">
              <w:rPr>
                <w:sz w:val="20"/>
                <w:szCs w:val="20"/>
              </w:rPr>
              <w:t>2 (c)</w:t>
            </w:r>
          </w:p>
        </w:tc>
        <w:tc>
          <w:tcPr>
            <w:tcW w:w="5812" w:type="dxa"/>
          </w:tcPr>
          <w:p w:rsidR="00836695" w:rsidRPr="00F506DD" w:rsidRDefault="006F2B5D" w:rsidP="00F506DD">
            <w:pPr>
              <w:pStyle w:val="ListParagraph"/>
              <w:numPr>
                <w:ilvl w:val="0"/>
                <w:numId w:val="8"/>
              </w:numPr>
              <w:ind w:left="601"/>
              <w:rPr>
                <w:sz w:val="20"/>
                <w:szCs w:val="20"/>
              </w:rPr>
            </w:pPr>
            <w:r w:rsidRPr="00F506DD">
              <w:rPr>
                <w:sz w:val="20"/>
                <w:szCs w:val="20"/>
              </w:rPr>
              <w:t>Resources</w:t>
            </w:r>
          </w:p>
        </w:tc>
        <w:tc>
          <w:tcPr>
            <w:tcW w:w="2835" w:type="dxa"/>
          </w:tcPr>
          <w:p w:rsidR="00836695" w:rsidRPr="00BF502B" w:rsidRDefault="001029EB" w:rsidP="00061060">
            <w:pPr>
              <w:jc w:val="center"/>
              <w:rPr>
                <w:sz w:val="20"/>
                <w:szCs w:val="20"/>
              </w:rPr>
            </w:pPr>
            <w:r w:rsidRPr="00BF502B">
              <w:rPr>
                <w:sz w:val="20"/>
                <w:szCs w:val="20"/>
              </w:rPr>
              <w:t>3.8</w:t>
            </w:r>
          </w:p>
        </w:tc>
      </w:tr>
      <w:tr w:rsidR="0010683A" w:rsidTr="00F506DD">
        <w:tc>
          <w:tcPr>
            <w:tcW w:w="1809" w:type="dxa"/>
          </w:tcPr>
          <w:p w:rsidR="0010683A" w:rsidRPr="00BF502B" w:rsidRDefault="0010683A">
            <w:pPr>
              <w:rPr>
                <w:sz w:val="20"/>
                <w:szCs w:val="20"/>
              </w:rPr>
            </w:pPr>
            <w:r w:rsidRPr="00BF502B">
              <w:rPr>
                <w:sz w:val="20"/>
                <w:szCs w:val="20"/>
              </w:rPr>
              <w:t>2 (d)</w:t>
            </w:r>
          </w:p>
        </w:tc>
        <w:tc>
          <w:tcPr>
            <w:tcW w:w="5812" w:type="dxa"/>
          </w:tcPr>
          <w:p w:rsidR="0010683A" w:rsidRPr="00F506DD" w:rsidRDefault="006F2B5D" w:rsidP="00F506DD">
            <w:pPr>
              <w:pStyle w:val="ListParagraph"/>
              <w:numPr>
                <w:ilvl w:val="0"/>
                <w:numId w:val="8"/>
              </w:numPr>
              <w:ind w:left="601"/>
              <w:rPr>
                <w:sz w:val="20"/>
                <w:szCs w:val="20"/>
              </w:rPr>
            </w:pPr>
            <w:r w:rsidRPr="00F506DD">
              <w:rPr>
                <w:sz w:val="20"/>
                <w:szCs w:val="20"/>
              </w:rPr>
              <w:t>Delivery</w:t>
            </w:r>
          </w:p>
        </w:tc>
        <w:tc>
          <w:tcPr>
            <w:tcW w:w="2835" w:type="dxa"/>
          </w:tcPr>
          <w:p w:rsidR="0010683A" w:rsidRPr="00BF502B" w:rsidRDefault="001029EB" w:rsidP="00061060">
            <w:pPr>
              <w:jc w:val="center"/>
              <w:rPr>
                <w:sz w:val="20"/>
                <w:szCs w:val="20"/>
              </w:rPr>
            </w:pPr>
            <w:r w:rsidRPr="00BF502B">
              <w:rPr>
                <w:sz w:val="20"/>
                <w:szCs w:val="20"/>
              </w:rPr>
              <w:t>3.8</w:t>
            </w:r>
          </w:p>
        </w:tc>
      </w:tr>
      <w:tr w:rsidR="0010683A" w:rsidTr="00F506DD">
        <w:tc>
          <w:tcPr>
            <w:tcW w:w="1809" w:type="dxa"/>
          </w:tcPr>
          <w:p w:rsidR="0010683A" w:rsidRPr="00BF502B" w:rsidRDefault="0010683A">
            <w:pPr>
              <w:rPr>
                <w:sz w:val="20"/>
                <w:szCs w:val="20"/>
              </w:rPr>
            </w:pPr>
            <w:r w:rsidRPr="00BF502B">
              <w:rPr>
                <w:sz w:val="20"/>
                <w:szCs w:val="20"/>
              </w:rPr>
              <w:t>2 (e)</w:t>
            </w:r>
          </w:p>
        </w:tc>
        <w:tc>
          <w:tcPr>
            <w:tcW w:w="5812" w:type="dxa"/>
          </w:tcPr>
          <w:p w:rsidR="0010683A" w:rsidRPr="00F506DD" w:rsidRDefault="006F2B5D" w:rsidP="00F506DD">
            <w:pPr>
              <w:pStyle w:val="ListParagraph"/>
              <w:numPr>
                <w:ilvl w:val="0"/>
                <w:numId w:val="8"/>
              </w:numPr>
              <w:ind w:left="601"/>
              <w:rPr>
                <w:sz w:val="20"/>
                <w:szCs w:val="20"/>
              </w:rPr>
            </w:pPr>
            <w:r w:rsidRPr="00F506DD">
              <w:rPr>
                <w:sz w:val="20"/>
                <w:szCs w:val="20"/>
              </w:rPr>
              <w:t>Assessment model</w:t>
            </w:r>
          </w:p>
        </w:tc>
        <w:tc>
          <w:tcPr>
            <w:tcW w:w="2835" w:type="dxa"/>
          </w:tcPr>
          <w:p w:rsidR="0010683A" w:rsidRPr="00BF502B" w:rsidRDefault="001029EB" w:rsidP="00061060">
            <w:pPr>
              <w:jc w:val="center"/>
              <w:rPr>
                <w:sz w:val="20"/>
                <w:szCs w:val="20"/>
              </w:rPr>
            </w:pPr>
            <w:r w:rsidRPr="00BF502B">
              <w:rPr>
                <w:sz w:val="20"/>
                <w:szCs w:val="20"/>
              </w:rPr>
              <w:t>3.8</w:t>
            </w:r>
          </w:p>
        </w:tc>
      </w:tr>
      <w:tr w:rsidR="00E805ED" w:rsidTr="00F506DD">
        <w:tc>
          <w:tcPr>
            <w:tcW w:w="1809" w:type="dxa"/>
          </w:tcPr>
          <w:p w:rsidR="00E805ED" w:rsidRPr="00BF502B" w:rsidRDefault="00E805ED">
            <w:pPr>
              <w:rPr>
                <w:sz w:val="20"/>
                <w:szCs w:val="20"/>
              </w:rPr>
            </w:pPr>
            <w:r w:rsidRPr="00BF502B">
              <w:rPr>
                <w:sz w:val="20"/>
                <w:szCs w:val="20"/>
              </w:rPr>
              <w:t>2 (f)</w:t>
            </w:r>
          </w:p>
        </w:tc>
        <w:tc>
          <w:tcPr>
            <w:tcW w:w="5812" w:type="dxa"/>
          </w:tcPr>
          <w:p w:rsidR="00E805ED" w:rsidRPr="00F506DD" w:rsidRDefault="006F2B5D" w:rsidP="00F506DD">
            <w:pPr>
              <w:pStyle w:val="ListParagraph"/>
              <w:numPr>
                <w:ilvl w:val="0"/>
                <w:numId w:val="8"/>
              </w:numPr>
              <w:ind w:left="601"/>
              <w:rPr>
                <w:sz w:val="20"/>
                <w:szCs w:val="20"/>
              </w:rPr>
            </w:pPr>
            <w:r w:rsidRPr="00F506DD">
              <w:rPr>
                <w:sz w:val="20"/>
                <w:szCs w:val="20"/>
              </w:rPr>
              <w:t>Schedule</w:t>
            </w:r>
          </w:p>
        </w:tc>
        <w:tc>
          <w:tcPr>
            <w:tcW w:w="2835" w:type="dxa"/>
          </w:tcPr>
          <w:p w:rsidR="00E805ED" w:rsidRPr="00BF502B" w:rsidRDefault="001029EB" w:rsidP="00061060">
            <w:pPr>
              <w:jc w:val="center"/>
              <w:rPr>
                <w:sz w:val="20"/>
                <w:szCs w:val="20"/>
              </w:rPr>
            </w:pPr>
            <w:r w:rsidRPr="00BF502B">
              <w:rPr>
                <w:sz w:val="20"/>
                <w:szCs w:val="20"/>
              </w:rPr>
              <w:t>3.9</w:t>
            </w:r>
          </w:p>
        </w:tc>
      </w:tr>
      <w:tr w:rsidR="00E805ED" w:rsidTr="00F506DD">
        <w:tc>
          <w:tcPr>
            <w:tcW w:w="1809" w:type="dxa"/>
          </w:tcPr>
          <w:p w:rsidR="00E805ED" w:rsidRPr="00BF502B" w:rsidRDefault="00E805ED">
            <w:pPr>
              <w:rPr>
                <w:sz w:val="20"/>
                <w:szCs w:val="20"/>
              </w:rPr>
            </w:pPr>
            <w:r w:rsidRPr="00BF502B">
              <w:rPr>
                <w:sz w:val="20"/>
                <w:szCs w:val="20"/>
              </w:rPr>
              <w:t>2 (g)</w:t>
            </w:r>
          </w:p>
        </w:tc>
        <w:tc>
          <w:tcPr>
            <w:tcW w:w="5812" w:type="dxa"/>
          </w:tcPr>
          <w:p w:rsidR="00E805ED" w:rsidRPr="00F506DD" w:rsidRDefault="006F2B5D" w:rsidP="00F506DD">
            <w:pPr>
              <w:pStyle w:val="ListParagraph"/>
              <w:numPr>
                <w:ilvl w:val="0"/>
                <w:numId w:val="8"/>
              </w:numPr>
              <w:ind w:left="601"/>
              <w:rPr>
                <w:sz w:val="20"/>
                <w:szCs w:val="20"/>
              </w:rPr>
            </w:pPr>
            <w:r w:rsidRPr="00F506DD">
              <w:rPr>
                <w:sz w:val="20"/>
                <w:szCs w:val="20"/>
              </w:rPr>
              <w:t>Rooms and facilities</w:t>
            </w:r>
          </w:p>
        </w:tc>
        <w:tc>
          <w:tcPr>
            <w:tcW w:w="2835" w:type="dxa"/>
          </w:tcPr>
          <w:p w:rsidR="00E805ED" w:rsidRPr="00BF502B" w:rsidRDefault="001029EB" w:rsidP="00061060">
            <w:pPr>
              <w:jc w:val="center"/>
              <w:rPr>
                <w:sz w:val="20"/>
                <w:szCs w:val="20"/>
              </w:rPr>
            </w:pPr>
            <w:r w:rsidRPr="00BF502B">
              <w:rPr>
                <w:sz w:val="20"/>
                <w:szCs w:val="20"/>
              </w:rPr>
              <w:t>4.1</w:t>
            </w:r>
          </w:p>
        </w:tc>
      </w:tr>
      <w:tr w:rsidR="00303C19" w:rsidTr="00F506DD">
        <w:tc>
          <w:tcPr>
            <w:tcW w:w="1809" w:type="dxa"/>
            <w:tcBorders>
              <w:bottom w:val="single" w:sz="4" w:space="0" w:color="auto"/>
            </w:tcBorders>
          </w:tcPr>
          <w:p w:rsidR="00303C19" w:rsidRPr="00BF502B" w:rsidRDefault="00303C19">
            <w:pPr>
              <w:rPr>
                <w:sz w:val="20"/>
                <w:szCs w:val="20"/>
              </w:rPr>
            </w:pPr>
            <w:r w:rsidRPr="00BF502B">
              <w:rPr>
                <w:sz w:val="20"/>
                <w:szCs w:val="20"/>
              </w:rPr>
              <w:t xml:space="preserve">2 </w:t>
            </w:r>
            <w:r w:rsidR="00BF502B">
              <w:rPr>
                <w:sz w:val="20"/>
                <w:szCs w:val="20"/>
              </w:rPr>
              <w:t>(</w:t>
            </w:r>
            <w:r w:rsidRPr="00BF502B">
              <w:rPr>
                <w:sz w:val="20"/>
                <w:szCs w:val="20"/>
              </w:rPr>
              <w:t>overall average)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03C19" w:rsidRPr="00BF502B" w:rsidRDefault="00303C1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03C19" w:rsidRPr="00BF502B" w:rsidRDefault="001029EB" w:rsidP="00061060">
            <w:pPr>
              <w:jc w:val="center"/>
              <w:rPr>
                <w:sz w:val="20"/>
                <w:szCs w:val="20"/>
              </w:rPr>
            </w:pPr>
            <w:r w:rsidRPr="00BF502B">
              <w:rPr>
                <w:sz w:val="20"/>
                <w:szCs w:val="20"/>
              </w:rPr>
              <w:t>3.8</w:t>
            </w:r>
          </w:p>
        </w:tc>
      </w:tr>
    </w:tbl>
    <w:p w:rsidR="00A420AE" w:rsidRPr="00F506DD" w:rsidRDefault="00A420AE" w:rsidP="00CF1644">
      <w:pPr>
        <w:spacing w:after="0" w:line="240" w:lineRule="auto"/>
        <w:rPr>
          <w:sz w:val="40"/>
          <w:szCs w:val="40"/>
        </w:rPr>
      </w:pPr>
    </w:p>
    <w:p w:rsidR="00A420AE" w:rsidRDefault="00A420AE">
      <w:r w:rsidRPr="00046233">
        <w:rPr>
          <w:i/>
        </w:rPr>
        <w:t>The University of Limerick wishes to acknowledge with thanks the cooperation of staff and</w:t>
      </w:r>
      <w:r w:rsidR="00EE2D70" w:rsidRPr="00046233">
        <w:rPr>
          <w:i/>
        </w:rPr>
        <w:t xml:space="preserve"> </w:t>
      </w:r>
      <w:r w:rsidRPr="00046233">
        <w:rPr>
          <w:i/>
        </w:rPr>
        <w:t xml:space="preserve">students in </w:t>
      </w:r>
      <w:r w:rsidR="00CF1644">
        <w:rPr>
          <w:i/>
        </w:rPr>
        <w:t>operationalis</w:t>
      </w:r>
      <w:r w:rsidR="007A2918" w:rsidRPr="00046233">
        <w:rPr>
          <w:i/>
        </w:rPr>
        <w:t>ing</w:t>
      </w:r>
      <w:r w:rsidRPr="00046233">
        <w:rPr>
          <w:i/>
        </w:rPr>
        <w:t xml:space="preserve"> this survey</w:t>
      </w:r>
      <w:r>
        <w:t>.</w:t>
      </w:r>
    </w:p>
    <w:sectPr w:rsidR="00A420AE" w:rsidSect="00CF1644">
      <w:pgSz w:w="11906" w:h="16838" w:code="9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7A7" w:rsidRDefault="006637A7" w:rsidP="00125B6B">
      <w:pPr>
        <w:spacing w:after="0" w:line="240" w:lineRule="auto"/>
      </w:pPr>
      <w:r>
        <w:separator/>
      </w:r>
    </w:p>
  </w:endnote>
  <w:endnote w:type="continuationSeparator" w:id="0">
    <w:p w:rsidR="006637A7" w:rsidRDefault="006637A7" w:rsidP="00125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7A7" w:rsidRDefault="006637A7" w:rsidP="00125B6B">
      <w:pPr>
        <w:spacing w:after="0" w:line="240" w:lineRule="auto"/>
      </w:pPr>
      <w:r>
        <w:separator/>
      </w:r>
    </w:p>
  </w:footnote>
  <w:footnote w:type="continuationSeparator" w:id="0">
    <w:p w:rsidR="006637A7" w:rsidRDefault="006637A7" w:rsidP="00125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E7A88"/>
    <w:multiLevelType w:val="hybridMultilevel"/>
    <w:tmpl w:val="0E5E801E"/>
    <w:lvl w:ilvl="0" w:tplc="0F56D368">
      <w:start w:val="1"/>
      <w:numFmt w:val="bullet"/>
      <w:lvlText w:val=""/>
      <w:lvlJc w:val="left"/>
      <w:pPr>
        <w:ind w:left="103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31E73002"/>
    <w:multiLevelType w:val="hybridMultilevel"/>
    <w:tmpl w:val="F9DE78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422D0"/>
    <w:multiLevelType w:val="hybridMultilevel"/>
    <w:tmpl w:val="9DCC3A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34841"/>
    <w:multiLevelType w:val="hybridMultilevel"/>
    <w:tmpl w:val="4A18FFAE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11150"/>
    <w:multiLevelType w:val="hybridMultilevel"/>
    <w:tmpl w:val="985C6AB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AD273CA"/>
    <w:multiLevelType w:val="hybridMultilevel"/>
    <w:tmpl w:val="9C7252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34486"/>
    <w:multiLevelType w:val="hybridMultilevel"/>
    <w:tmpl w:val="18B07B8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76F29"/>
    <w:multiLevelType w:val="hybridMultilevel"/>
    <w:tmpl w:val="4078A3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3C"/>
    <w:rsid w:val="00015659"/>
    <w:rsid w:val="000258A5"/>
    <w:rsid w:val="00046233"/>
    <w:rsid w:val="00061060"/>
    <w:rsid w:val="00063E30"/>
    <w:rsid w:val="0006586F"/>
    <w:rsid w:val="00070B5A"/>
    <w:rsid w:val="000742A9"/>
    <w:rsid w:val="000A23BF"/>
    <w:rsid w:val="000A6145"/>
    <w:rsid w:val="000C07EA"/>
    <w:rsid w:val="000C07FB"/>
    <w:rsid w:val="000D04CF"/>
    <w:rsid w:val="001029EB"/>
    <w:rsid w:val="0010683A"/>
    <w:rsid w:val="0011765B"/>
    <w:rsid w:val="001228AB"/>
    <w:rsid w:val="0012474C"/>
    <w:rsid w:val="00125B6B"/>
    <w:rsid w:val="00125CAD"/>
    <w:rsid w:val="001553FE"/>
    <w:rsid w:val="001624E9"/>
    <w:rsid w:val="00195C00"/>
    <w:rsid w:val="001A183F"/>
    <w:rsid w:val="001A7017"/>
    <w:rsid w:val="001D73D1"/>
    <w:rsid w:val="001E3EA0"/>
    <w:rsid w:val="001F6D5A"/>
    <w:rsid w:val="0020249F"/>
    <w:rsid w:val="00232C78"/>
    <w:rsid w:val="002556DE"/>
    <w:rsid w:val="00260D9E"/>
    <w:rsid w:val="002B1FE5"/>
    <w:rsid w:val="00303C19"/>
    <w:rsid w:val="00316CDF"/>
    <w:rsid w:val="003459F8"/>
    <w:rsid w:val="0034708D"/>
    <w:rsid w:val="00347450"/>
    <w:rsid w:val="003C42F8"/>
    <w:rsid w:val="003C5286"/>
    <w:rsid w:val="003D0EF1"/>
    <w:rsid w:val="00447DE5"/>
    <w:rsid w:val="004B3003"/>
    <w:rsid w:val="004E37DC"/>
    <w:rsid w:val="0052688C"/>
    <w:rsid w:val="00544B24"/>
    <w:rsid w:val="00550C57"/>
    <w:rsid w:val="00555F9C"/>
    <w:rsid w:val="0058560E"/>
    <w:rsid w:val="005903F6"/>
    <w:rsid w:val="005B78B8"/>
    <w:rsid w:val="005C7C2A"/>
    <w:rsid w:val="005F1003"/>
    <w:rsid w:val="005F60ED"/>
    <w:rsid w:val="00603189"/>
    <w:rsid w:val="00613735"/>
    <w:rsid w:val="00613C2C"/>
    <w:rsid w:val="00616F30"/>
    <w:rsid w:val="006242C1"/>
    <w:rsid w:val="00644937"/>
    <w:rsid w:val="00654A42"/>
    <w:rsid w:val="006637A7"/>
    <w:rsid w:val="00671B0D"/>
    <w:rsid w:val="006775C2"/>
    <w:rsid w:val="00687374"/>
    <w:rsid w:val="006908C1"/>
    <w:rsid w:val="006B1F79"/>
    <w:rsid w:val="006C03E6"/>
    <w:rsid w:val="006C5DB2"/>
    <w:rsid w:val="006D26ED"/>
    <w:rsid w:val="006D6854"/>
    <w:rsid w:val="006E30A7"/>
    <w:rsid w:val="006F038B"/>
    <w:rsid w:val="006F04D2"/>
    <w:rsid w:val="006F2B5D"/>
    <w:rsid w:val="0070343A"/>
    <w:rsid w:val="00704AB9"/>
    <w:rsid w:val="00715FEA"/>
    <w:rsid w:val="0073635A"/>
    <w:rsid w:val="00750F7C"/>
    <w:rsid w:val="007536E8"/>
    <w:rsid w:val="00764EEE"/>
    <w:rsid w:val="00774EF6"/>
    <w:rsid w:val="007861F3"/>
    <w:rsid w:val="007A2918"/>
    <w:rsid w:val="007D3CC1"/>
    <w:rsid w:val="007E744B"/>
    <w:rsid w:val="007F0B78"/>
    <w:rsid w:val="008233AB"/>
    <w:rsid w:val="00836695"/>
    <w:rsid w:val="00841D2F"/>
    <w:rsid w:val="00852756"/>
    <w:rsid w:val="00881DA6"/>
    <w:rsid w:val="00890981"/>
    <w:rsid w:val="00895276"/>
    <w:rsid w:val="008D5336"/>
    <w:rsid w:val="008E4085"/>
    <w:rsid w:val="008E4E93"/>
    <w:rsid w:val="008F6DA1"/>
    <w:rsid w:val="009879BC"/>
    <w:rsid w:val="009B6252"/>
    <w:rsid w:val="009C504A"/>
    <w:rsid w:val="009C65AF"/>
    <w:rsid w:val="009E4B2E"/>
    <w:rsid w:val="009F4102"/>
    <w:rsid w:val="00A02827"/>
    <w:rsid w:val="00A03D44"/>
    <w:rsid w:val="00A05B4E"/>
    <w:rsid w:val="00A2673A"/>
    <w:rsid w:val="00A420AE"/>
    <w:rsid w:val="00A43FE7"/>
    <w:rsid w:val="00AA02AD"/>
    <w:rsid w:val="00B466F6"/>
    <w:rsid w:val="00B54D40"/>
    <w:rsid w:val="00BB4B63"/>
    <w:rsid w:val="00BB6345"/>
    <w:rsid w:val="00BB7E8A"/>
    <w:rsid w:val="00BE7928"/>
    <w:rsid w:val="00BF02A9"/>
    <w:rsid w:val="00BF502B"/>
    <w:rsid w:val="00C02112"/>
    <w:rsid w:val="00C06034"/>
    <w:rsid w:val="00C31612"/>
    <w:rsid w:val="00C51809"/>
    <w:rsid w:val="00C66174"/>
    <w:rsid w:val="00C7667F"/>
    <w:rsid w:val="00C9121B"/>
    <w:rsid w:val="00C919FB"/>
    <w:rsid w:val="00CF1644"/>
    <w:rsid w:val="00CF5DE8"/>
    <w:rsid w:val="00D0396D"/>
    <w:rsid w:val="00D04C41"/>
    <w:rsid w:val="00D23C2E"/>
    <w:rsid w:val="00D836DA"/>
    <w:rsid w:val="00DB48C3"/>
    <w:rsid w:val="00DB66F9"/>
    <w:rsid w:val="00DC0CF8"/>
    <w:rsid w:val="00DC4BAF"/>
    <w:rsid w:val="00DC4ED4"/>
    <w:rsid w:val="00DE19B0"/>
    <w:rsid w:val="00DE49A7"/>
    <w:rsid w:val="00DE76B3"/>
    <w:rsid w:val="00E10CA8"/>
    <w:rsid w:val="00E3503C"/>
    <w:rsid w:val="00E805ED"/>
    <w:rsid w:val="00E82764"/>
    <w:rsid w:val="00EB776A"/>
    <w:rsid w:val="00EE0DF4"/>
    <w:rsid w:val="00EE1AAA"/>
    <w:rsid w:val="00EE2D70"/>
    <w:rsid w:val="00EF0804"/>
    <w:rsid w:val="00F506DD"/>
    <w:rsid w:val="00F8794B"/>
    <w:rsid w:val="00FB52C6"/>
    <w:rsid w:val="00FD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6D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5B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5B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5B6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E7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928"/>
  </w:style>
  <w:style w:type="paragraph" w:styleId="Footer">
    <w:name w:val="footer"/>
    <w:basedOn w:val="Normal"/>
    <w:link w:val="FooterChar"/>
    <w:uiPriority w:val="99"/>
    <w:unhideWhenUsed/>
    <w:rsid w:val="00BE7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928"/>
  </w:style>
  <w:style w:type="paragraph" w:styleId="ListParagraph">
    <w:name w:val="List Paragraph"/>
    <w:basedOn w:val="Normal"/>
    <w:uiPriority w:val="34"/>
    <w:qFormat/>
    <w:rsid w:val="004B30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2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1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1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11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36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0C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0C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6D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5B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5B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5B6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E7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928"/>
  </w:style>
  <w:style w:type="paragraph" w:styleId="Footer">
    <w:name w:val="footer"/>
    <w:basedOn w:val="Normal"/>
    <w:link w:val="FooterChar"/>
    <w:uiPriority w:val="99"/>
    <w:unhideWhenUsed/>
    <w:rsid w:val="00BE7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928"/>
  </w:style>
  <w:style w:type="paragraph" w:styleId="ListParagraph">
    <w:name w:val="List Paragraph"/>
    <w:basedOn w:val="Normal"/>
    <w:uiPriority w:val="34"/>
    <w:qFormat/>
    <w:rsid w:val="004B30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2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1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1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11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36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0C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0C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9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ul.ie/vpacad/sites/default/files/Module%20Satisfaction%20Survey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9F7F2-E2E8-4D67-9CC9-A4ED7F749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Adrian.Thomas</dc:creator>
  <cp:lastModifiedBy>Kim.OMahony</cp:lastModifiedBy>
  <cp:revision>2</cp:revision>
  <cp:lastPrinted>2016-02-10T14:51:00Z</cp:lastPrinted>
  <dcterms:created xsi:type="dcterms:W3CDTF">2016-02-15T08:23:00Z</dcterms:created>
  <dcterms:modified xsi:type="dcterms:W3CDTF">2016-02-15T08:23:00Z</dcterms:modified>
</cp:coreProperties>
</file>