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77A5" w14:textId="5370C9CB" w:rsidR="002B222F" w:rsidRDefault="00B21ED1" w:rsidP="5D56BF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35"/>
        </w:tabs>
        <w:rPr>
          <w:b/>
          <w:bCs/>
        </w:rPr>
      </w:pPr>
      <w:r w:rsidRPr="00B21ED1">
        <w:rPr>
          <w:b/>
          <w:noProof/>
        </w:rPr>
        <w:drawing>
          <wp:inline distT="0" distB="0" distL="0" distR="0" wp14:anchorId="0BCA1974" wp14:editId="7A6EECF4">
            <wp:extent cx="2487623" cy="1137920"/>
            <wp:effectExtent l="0" t="0" r="8255" b="5080"/>
            <wp:docPr id="1" name="Picture 1" descr="C:\Users\una.mcinerney\Desktop\1-UL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a.mcinerney\Desktop\1-UL_Logo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496" cy="114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78B">
        <w:rPr>
          <w:b/>
        </w:rPr>
        <w:tab/>
      </w:r>
      <w:r w:rsidR="00FD778B">
        <w:rPr>
          <w:b/>
        </w:rPr>
        <w:tab/>
      </w:r>
      <w:r w:rsidRPr="5D56BFFC">
        <w:rPr>
          <w:b/>
          <w:bCs/>
        </w:rPr>
        <w:t xml:space="preserve">                           </w:t>
      </w:r>
      <w:r w:rsidRPr="002B222F">
        <w:rPr>
          <w:b/>
          <w:noProof/>
        </w:rPr>
        <w:drawing>
          <wp:inline distT="0" distB="0" distL="0" distR="0" wp14:anchorId="3C5E5BD4" wp14:editId="4BE548B8">
            <wp:extent cx="930900" cy="847562"/>
            <wp:effectExtent l="0" t="0" r="193675" b="16256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C77A99C-3BE6-4C10-8137-7CE57A45B6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DC77A99C-3BE6-4C10-8137-7CE57A45B6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DC77A99C-3BE6-4C10-8137-7CE57A45B654}"/>
                        </a:ext>
                      </a:extLst>
                    </a:blip>
                    <a:srcRect r="30248"/>
                    <a:stretch/>
                  </pic:blipFill>
                  <pic:spPr bwMode="auto">
                    <a:xfrm>
                      <a:off x="0" y="0"/>
                      <a:ext cx="930900" cy="8475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14300" dist="152400" dir="2700000" algn="tl" rotWithShape="0">
                        <a:prstClr val="black">
                          <a:alpha val="53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778B">
        <w:rPr>
          <w:b/>
        </w:rPr>
        <w:tab/>
      </w:r>
    </w:p>
    <w:p w14:paraId="2F674B46" w14:textId="201A2B01" w:rsidR="002B222F" w:rsidRPr="00B21ED1" w:rsidRDefault="00FD778B" w:rsidP="70F9E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35"/>
        </w:tabs>
        <w:jc w:val="center"/>
        <w:rPr>
          <w:b/>
          <w:bCs/>
          <w:color w:val="005335"/>
          <w:sz w:val="28"/>
          <w:szCs w:val="28"/>
        </w:rPr>
      </w:pPr>
      <w:r w:rsidRPr="70F9E19D">
        <w:rPr>
          <w:b/>
          <w:bCs/>
          <w:color w:val="005335"/>
          <w:sz w:val="28"/>
          <w:szCs w:val="28"/>
        </w:rPr>
        <w:t>PPI Ignite</w:t>
      </w:r>
      <w:r w:rsidR="3A8C6DC7" w:rsidRPr="70F9E19D">
        <w:rPr>
          <w:b/>
          <w:bCs/>
          <w:color w:val="005335"/>
          <w:sz w:val="28"/>
          <w:szCs w:val="28"/>
        </w:rPr>
        <w:t xml:space="preserve"> </w:t>
      </w:r>
      <w:proofErr w:type="spellStart"/>
      <w:r w:rsidR="3A8C6DC7" w:rsidRPr="70F9E19D">
        <w:rPr>
          <w:b/>
          <w:bCs/>
          <w:color w:val="005335"/>
          <w:sz w:val="28"/>
          <w:szCs w:val="28"/>
        </w:rPr>
        <w:t>Network</w:t>
      </w:r>
      <w:r w:rsidRPr="70F9E19D">
        <w:rPr>
          <w:b/>
          <w:bCs/>
          <w:color w:val="005335"/>
          <w:sz w:val="28"/>
          <w:szCs w:val="28"/>
        </w:rPr>
        <w:t>@UL</w:t>
      </w:r>
      <w:proofErr w:type="spellEnd"/>
      <w:r w:rsidRPr="70F9E19D">
        <w:rPr>
          <w:b/>
          <w:bCs/>
          <w:color w:val="005335"/>
          <w:sz w:val="28"/>
          <w:szCs w:val="28"/>
        </w:rPr>
        <w:t xml:space="preserve"> </w:t>
      </w:r>
      <w:r w:rsidR="00DF1B3B" w:rsidRPr="70F9E19D">
        <w:rPr>
          <w:b/>
          <w:bCs/>
          <w:color w:val="005335"/>
          <w:sz w:val="28"/>
          <w:szCs w:val="28"/>
        </w:rPr>
        <w:t>b</w:t>
      </w:r>
      <w:r w:rsidR="00300470" w:rsidRPr="70F9E19D">
        <w:rPr>
          <w:b/>
          <w:bCs/>
          <w:color w:val="005335"/>
          <w:sz w:val="28"/>
          <w:szCs w:val="28"/>
        </w:rPr>
        <w:t xml:space="preserve">ursary </w:t>
      </w:r>
      <w:r w:rsidRPr="70F9E19D">
        <w:rPr>
          <w:b/>
          <w:bCs/>
          <w:color w:val="005335"/>
          <w:sz w:val="28"/>
          <w:szCs w:val="28"/>
        </w:rPr>
        <w:t>scheme</w:t>
      </w:r>
      <w:r w:rsidR="03988EE8" w:rsidRPr="70F9E19D">
        <w:rPr>
          <w:b/>
          <w:bCs/>
          <w:color w:val="005335"/>
          <w:sz w:val="28"/>
          <w:szCs w:val="28"/>
        </w:rPr>
        <w:t xml:space="preserve"> 20</w:t>
      </w:r>
      <w:r w:rsidR="00FF4F3A">
        <w:rPr>
          <w:b/>
          <w:bCs/>
          <w:color w:val="005335"/>
          <w:sz w:val="28"/>
          <w:szCs w:val="28"/>
        </w:rPr>
        <w:t>23/24</w:t>
      </w:r>
      <w:r w:rsidR="00B21ED1" w:rsidRPr="70F9E19D">
        <w:rPr>
          <w:b/>
          <w:bCs/>
          <w:color w:val="005335"/>
          <w:sz w:val="28"/>
          <w:szCs w:val="28"/>
          <w14:textFill>
            <w14:solidFill>
              <w14:srgbClr w14:val="005335">
                <w14:lumMod w14:val="50000"/>
              </w14:srgbClr>
            </w14:solidFill>
          </w14:textFill>
        </w:rPr>
        <w:t xml:space="preserve"> </w:t>
      </w:r>
      <w:r w:rsidR="00E82B67" w:rsidRPr="70F9E19D">
        <w:rPr>
          <w:b/>
          <w:bCs/>
          <w:color w:val="005335"/>
          <w:sz w:val="28"/>
          <w:szCs w:val="28"/>
        </w:rPr>
        <w:t>- informat</w:t>
      </w:r>
      <w:r w:rsidR="002B222F" w:rsidRPr="70F9E19D">
        <w:rPr>
          <w:b/>
          <w:bCs/>
          <w:color w:val="005335"/>
          <w:sz w:val="28"/>
          <w:szCs w:val="28"/>
        </w:rPr>
        <w:t>i</w:t>
      </w:r>
      <w:r w:rsidR="00E82B67" w:rsidRPr="70F9E19D">
        <w:rPr>
          <w:b/>
          <w:bCs/>
          <w:color w:val="005335"/>
          <w:sz w:val="28"/>
          <w:szCs w:val="28"/>
        </w:rPr>
        <w:t xml:space="preserve">on </w:t>
      </w:r>
      <w:proofErr w:type="gramStart"/>
      <w:r w:rsidR="00E82B67" w:rsidRPr="70F9E19D">
        <w:rPr>
          <w:b/>
          <w:bCs/>
          <w:color w:val="005335"/>
          <w:sz w:val="28"/>
          <w:szCs w:val="28"/>
        </w:rPr>
        <w:t>sheet</w:t>
      </w:r>
      <w:proofErr w:type="gramEnd"/>
    </w:p>
    <w:p w14:paraId="68C8E948" w14:textId="6FB4D57A" w:rsidR="326B1B9A" w:rsidRDefault="326B1B9A" w:rsidP="326B1B9A">
      <w:pPr>
        <w:rPr>
          <w:b/>
          <w:bCs/>
          <w:color w:val="00B140"/>
        </w:rPr>
      </w:pPr>
    </w:p>
    <w:p w14:paraId="33C2BC2D" w14:textId="476D3021" w:rsidR="326B1B9A" w:rsidRDefault="001247A0" w:rsidP="326B1B9A">
      <w:pPr>
        <w:rPr>
          <w:b/>
          <w:bCs/>
          <w:color w:val="00B140"/>
        </w:rPr>
      </w:pPr>
      <w:r w:rsidRPr="326B1B9A">
        <w:rPr>
          <w:b/>
          <w:bCs/>
          <w:color w:val="00B140"/>
        </w:rPr>
        <w:t>Introduction</w:t>
      </w:r>
    </w:p>
    <w:p w14:paraId="42DC4A24" w14:textId="77777777" w:rsidR="00F3442F" w:rsidRPr="00F3442F" w:rsidRDefault="00F3442F" w:rsidP="326B1B9A">
      <w:pPr>
        <w:rPr>
          <w:b/>
        </w:rPr>
      </w:pPr>
    </w:p>
    <w:p w14:paraId="48871BF5" w14:textId="4B1B68B5" w:rsidR="00FD778B" w:rsidRPr="001247A0" w:rsidRDefault="00FD778B" w:rsidP="349CD5FD">
      <w:pPr>
        <w:jc w:val="both"/>
        <w:rPr>
          <w:b/>
          <w:bCs/>
        </w:rPr>
      </w:pPr>
      <w:r>
        <w:t xml:space="preserve">In 2017, the Health Research Board and Irish Research Council funded a 3-year pilot programme </w:t>
      </w:r>
      <w:r w:rsidR="37CC92DB">
        <w:t>t</w:t>
      </w:r>
      <w:r>
        <w:t>hrough the PPI Ignite Awards, aimed at advancing public and patient involvement in health research. </w:t>
      </w:r>
      <w:r w:rsidR="4CB557BE">
        <w:t xml:space="preserve">In 2021, </w:t>
      </w:r>
      <w:r w:rsidR="35165D3E">
        <w:t xml:space="preserve">a </w:t>
      </w:r>
      <w:r w:rsidR="4CB557BE">
        <w:t>further</w:t>
      </w:r>
      <w:r w:rsidR="1B829D28">
        <w:t xml:space="preserve"> 5</w:t>
      </w:r>
      <w:r w:rsidR="0FCA0764">
        <w:t xml:space="preserve"> years</w:t>
      </w:r>
      <w:r w:rsidR="4CB557BE">
        <w:t xml:space="preserve"> </w:t>
      </w:r>
      <w:r w:rsidR="00F72E2F">
        <w:t xml:space="preserve">of </w:t>
      </w:r>
      <w:r w:rsidR="4CB557BE">
        <w:t xml:space="preserve">funding was given </w:t>
      </w:r>
      <w:r w:rsidR="29CE967E">
        <w:t xml:space="preserve">to 7 Irish universities to </w:t>
      </w:r>
      <w:r w:rsidR="4CB557BE">
        <w:t>develop a PPI Ignite Network</w:t>
      </w:r>
      <w:r w:rsidR="430062CF">
        <w:t xml:space="preserve"> </w:t>
      </w:r>
      <w:r w:rsidR="4C1522F5">
        <w:t xml:space="preserve">and </w:t>
      </w:r>
      <w:r w:rsidR="430062CF">
        <w:t>to embed PPI in health research locally and nationally.</w:t>
      </w:r>
      <w:r w:rsidR="1177194A">
        <w:t xml:space="preserve"> </w:t>
      </w:r>
      <w:r>
        <w:br/>
      </w:r>
      <w:hyperlink r:id="rId12">
        <w:r w:rsidR="00E82B67" w:rsidRPr="349CD5FD">
          <w:rPr>
            <w:color w:val="0000FF"/>
            <w:u w:val="single"/>
          </w:rPr>
          <w:t>https://www.ul.ie/hri/themes/public-and-patient-involvement-ppi</w:t>
        </w:r>
      </w:hyperlink>
    </w:p>
    <w:p w14:paraId="024852F6" w14:textId="61664E05" w:rsidR="001247A0" w:rsidRDefault="1546EC0C" w:rsidP="349CD5FD">
      <w:pPr>
        <w:jc w:val="both"/>
      </w:pPr>
      <w:proofErr w:type="gramStart"/>
      <w:r>
        <w:t>In order to</w:t>
      </w:r>
      <w:proofErr w:type="gramEnd"/>
      <w:r>
        <w:t xml:space="preserve"> support public and patient involvement in health research at UL, t</w:t>
      </w:r>
      <w:r w:rsidR="64A00337">
        <w:t xml:space="preserve">he </w:t>
      </w:r>
      <w:r w:rsidR="00DB032A">
        <w:t>PPI Ignite</w:t>
      </w:r>
      <w:r w:rsidR="15423558">
        <w:t xml:space="preserve"> </w:t>
      </w:r>
      <w:proofErr w:type="spellStart"/>
      <w:r w:rsidR="15423558">
        <w:t>Network</w:t>
      </w:r>
      <w:r w:rsidR="00DB032A">
        <w:t>@UL</w:t>
      </w:r>
      <w:proofErr w:type="spellEnd"/>
      <w:r w:rsidR="00DB032A">
        <w:t xml:space="preserve"> </w:t>
      </w:r>
      <w:r w:rsidR="0E633890">
        <w:t>will</w:t>
      </w:r>
      <w:r w:rsidR="00DB032A">
        <w:t xml:space="preserve"> </w:t>
      </w:r>
      <w:r w:rsidR="0EE055A8">
        <w:t xml:space="preserve">fund </w:t>
      </w:r>
      <w:r w:rsidR="37F7A697">
        <w:t xml:space="preserve">up to </w:t>
      </w:r>
      <w:r w:rsidR="00B92694">
        <w:t>3</w:t>
      </w:r>
      <w:r w:rsidR="37F7A697">
        <w:t xml:space="preserve"> </w:t>
      </w:r>
      <w:r w:rsidR="008E249B">
        <w:t xml:space="preserve">bursaries </w:t>
      </w:r>
      <w:r w:rsidR="5D5C4CF1">
        <w:t>for</w:t>
      </w:r>
      <w:r w:rsidR="6B6941C7">
        <w:t xml:space="preserve"> </w:t>
      </w:r>
      <w:r w:rsidR="008E249B">
        <w:t xml:space="preserve">UL Researchers and </w:t>
      </w:r>
      <w:r w:rsidR="065BBFE2">
        <w:t>PhD students</w:t>
      </w:r>
      <w:r w:rsidR="18731AB1">
        <w:t xml:space="preserve"> in 202</w:t>
      </w:r>
      <w:r w:rsidR="00F72E2F">
        <w:t>3</w:t>
      </w:r>
      <w:r w:rsidR="1887FCD8">
        <w:t>/20</w:t>
      </w:r>
      <w:r w:rsidR="00EF7E8E">
        <w:t>24</w:t>
      </w:r>
      <w:r w:rsidR="00DB032A">
        <w:t>. Applications are invited</w:t>
      </w:r>
      <w:r w:rsidR="32BA11B4">
        <w:t xml:space="preserve"> from researchers </w:t>
      </w:r>
      <w:r w:rsidR="00AA0B92">
        <w:t>to support partner</w:t>
      </w:r>
      <w:r w:rsidR="008E249B">
        <w:t>s</w:t>
      </w:r>
      <w:r w:rsidR="00AA0B92">
        <w:t>h</w:t>
      </w:r>
      <w:r w:rsidR="008E249B">
        <w:t xml:space="preserve">ips with community and/or patient organisations. The bursaries can be used to </w:t>
      </w:r>
      <w:r w:rsidR="008E249B" w:rsidRPr="349CD5FD">
        <w:rPr>
          <w:b/>
          <w:bCs/>
        </w:rPr>
        <w:t>establish new partnerships</w:t>
      </w:r>
      <w:r w:rsidR="008E249B">
        <w:t xml:space="preserve"> or to</w:t>
      </w:r>
      <w:r w:rsidR="00DB032A">
        <w:t xml:space="preserve"> </w:t>
      </w:r>
      <w:r w:rsidR="008E249B" w:rsidRPr="349CD5FD">
        <w:rPr>
          <w:b/>
          <w:bCs/>
        </w:rPr>
        <w:t>develop existing ones</w:t>
      </w:r>
      <w:r w:rsidR="008E249B">
        <w:t xml:space="preserve">. </w:t>
      </w:r>
      <w:r w:rsidR="001247A0">
        <w:t xml:space="preserve">Examples include but </w:t>
      </w:r>
      <w:r w:rsidR="00FF4F3A">
        <w:t>are not confined</w:t>
      </w:r>
      <w:r w:rsidR="001247A0">
        <w:t xml:space="preserve"> to activities that: </w:t>
      </w:r>
    </w:p>
    <w:p w14:paraId="2BA34963" w14:textId="0224DC68" w:rsidR="001247A0" w:rsidRDefault="009F571B" w:rsidP="349CD5FD">
      <w:pPr>
        <w:pStyle w:val="ListParagraph"/>
        <w:numPr>
          <w:ilvl w:val="0"/>
          <w:numId w:val="1"/>
        </w:numPr>
        <w:jc w:val="both"/>
      </w:pPr>
      <w:r>
        <w:t>develop PPI networks and partnerships</w:t>
      </w:r>
      <w:r w:rsidR="003A2673">
        <w:t xml:space="preserve"> through meetings or events</w:t>
      </w:r>
      <w:r w:rsidR="008E249B">
        <w:t xml:space="preserve"> to develop research priorities</w:t>
      </w:r>
    </w:p>
    <w:p w14:paraId="32432047" w14:textId="501E4009" w:rsidR="001247A0" w:rsidRDefault="009F571B" w:rsidP="349CD5FD">
      <w:pPr>
        <w:pStyle w:val="ListParagraph"/>
        <w:numPr>
          <w:ilvl w:val="0"/>
          <w:numId w:val="1"/>
        </w:numPr>
        <w:jc w:val="both"/>
      </w:pPr>
      <w:r>
        <w:t>support engaged research</w:t>
      </w:r>
      <w:r w:rsidR="008E249B">
        <w:t xml:space="preserve"> to enhance recruitment, fieldwork, dissemination</w:t>
      </w:r>
    </w:p>
    <w:p w14:paraId="543A0EF2" w14:textId="77777777" w:rsidR="001247A0" w:rsidRDefault="001247A0" w:rsidP="349CD5FD">
      <w:pPr>
        <w:pStyle w:val="ListParagraph"/>
        <w:numPr>
          <w:ilvl w:val="0"/>
          <w:numId w:val="1"/>
        </w:numPr>
        <w:jc w:val="both"/>
      </w:pPr>
      <w:r>
        <w:t>promote</w:t>
      </w:r>
      <w:r w:rsidR="009F571B">
        <w:t xml:space="preserve"> </w:t>
      </w:r>
      <w:r>
        <w:t xml:space="preserve">PPI </w:t>
      </w:r>
      <w:r w:rsidR="009F571B">
        <w:t>education and training</w:t>
      </w:r>
    </w:p>
    <w:p w14:paraId="525C3ADF" w14:textId="5CF8CD1C" w:rsidR="009F571B" w:rsidRDefault="009F571B" w:rsidP="349CD5FD">
      <w:pPr>
        <w:pStyle w:val="ListParagraph"/>
        <w:numPr>
          <w:ilvl w:val="0"/>
          <w:numId w:val="1"/>
        </w:numPr>
        <w:jc w:val="both"/>
      </w:pPr>
      <w:r>
        <w:t>develop</w:t>
      </w:r>
      <w:r w:rsidR="001247A0">
        <w:t xml:space="preserve"> </w:t>
      </w:r>
      <w:r>
        <w:t>tools and resources</w:t>
      </w:r>
    </w:p>
    <w:p w14:paraId="374B5880" w14:textId="397DAD78" w:rsidR="001247A0" w:rsidRDefault="001247A0" w:rsidP="349CD5FD">
      <w:pPr>
        <w:pStyle w:val="ListParagraph"/>
        <w:numPr>
          <w:ilvl w:val="0"/>
          <w:numId w:val="1"/>
        </w:numPr>
        <w:jc w:val="both"/>
      </w:pPr>
      <w:r>
        <w:t>raise awareness and improve communication</w:t>
      </w:r>
      <w:r w:rsidR="008E249B">
        <w:t xml:space="preserve"> about</w:t>
      </w:r>
      <w:r w:rsidR="00AA0B92">
        <w:t xml:space="preserve"> PPI in health research</w:t>
      </w:r>
    </w:p>
    <w:p w14:paraId="63A1BA9F" w14:textId="7852BC74" w:rsidR="326B1B9A" w:rsidRDefault="326B1B9A" w:rsidP="349CD5FD">
      <w:pPr>
        <w:jc w:val="both"/>
        <w:rPr>
          <w:b/>
          <w:bCs/>
          <w:color w:val="00B140"/>
        </w:rPr>
      </w:pPr>
    </w:p>
    <w:p w14:paraId="608EF805" w14:textId="3E88153C" w:rsidR="009F571B" w:rsidRPr="0079290E" w:rsidRDefault="009F571B" w:rsidP="349CD5FD">
      <w:pPr>
        <w:jc w:val="both"/>
        <w:rPr>
          <w:color w:val="00B140"/>
        </w:rPr>
      </w:pPr>
      <w:r w:rsidRPr="349CD5FD">
        <w:rPr>
          <w:b/>
          <w:bCs/>
          <w:color w:val="00B140"/>
        </w:rPr>
        <w:t>Eligibility</w:t>
      </w:r>
    </w:p>
    <w:p w14:paraId="592ACED8" w14:textId="54BFFCCE" w:rsidR="009E5F1E" w:rsidRDefault="009E5F1E" w:rsidP="009E5F1E">
      <w:pPr>
        <w:rPr>
          <w:i/>
          <w:iCs/>
        </w:rPr>
      </w:pPr>
      <w:r>
        <w:t xml:space="preserve">Each application </w:t>
      </w:r>
      <w:r w:rsidRPr="009E5F1E">
        <w:rPr>
          <w:b/>
          <w:bCs/>
        </w:rPr>
        <w:t xml:space="preserve">must have </w:t>
      </w:r>
      <w:r>
        <w:t xml:space="preserve">a UL researcher </w:t>
      </w:r>
      <w:r w:rsidR="00C1213B">
        <w:t xml:space="preserve">or </w:t>
      </w:r>
      <w:r w:rsidR="00F35C42">
        <w:t>a</w:t>
      </w:r>
      <w:r w:rsidR="009A757D">
        <w:t xml:space="preserve"> UL</w:t>
      </w:r>
      <w:r w:rsidR="00F35C42">
        <w:t xml:space="preserve"> </w:t>
      </w:r>
      <w:r w:rsidR="009A757D">
        <w:t>PhD</w:t>
      </w:r>
      <w:r w:rsidR="00C1213B">
        <w:t xml:space="preserve"> </w:t>
      </w:r>
      <w:r w:rsidR="00F35C42">
        <w:t xml:space="preserve">candidate </w:t>
      </w:r>
      <w:r>
        <w:t xml:space="preserve">as the main applicant, and at least </w:t>
      </w:r>
      <w:r>
        <w:rPr>
          <w:b/>
          <w:bCs/>
        </w:rPr>
        <w:t>one community partner</w:t>
      </w:r>
      <w:r w:rsidR="008C58CB">
        <w:rPr>
          <w:b/>
          <w:bCs/>
        </w:rPr>
        <w:t xml:space="preserve">. </w:t>
      </w:r>
      <w:r w:rsidR="00F35C42">
        <w:t xml:space="preserve">In the case of an application from </w:t>
      </w:r>
      <w:r w:rsidR="00F35C42" w:rsidRPr="349CD5FD">
        <w:rPr>
          <w:b/>
          <w:bCs/>
        </w:rPr>
        <w:t xml:space="preserve">a registered </w:t>
      </w:r>
      <w:r w:rsidR="009A757D">
        <w:rPr>
          <w:b/>
          <w:bCs/>
        </w:rPr>
        <w:t>PhD</w:t>
      </w:r>
      <w:r w:rsidR="00F35C42" w:rsidRPr="349CD5FD">
        <w:rPr>
          <w:b/>
          <w:bCs/>
        </w:rPr>
        <w:t xml:space="preserve"> </w:t>
      </w:r>
      <w:r w:rsidR="00EF7E8E">
        <w:rPr>
          <w:b/>
          <w:bCs/>
        </w:rPr>
        <w:t>candidate</w:t>
      </w:r>
      <w:r w:rsidR="00F35C42">
        <w:t xml:space="preserve"> </w:t>
      </w:r>
      <w:r w:rsidR="00601609">
        <w:t xml:space="preserve">as </w:t>
      </w:r>
      <w:r w:rsidR="00F35C42">
        <w:t xml:space="preserve">the main applicant, it must have at least </w:t>
      </w:r>
      <w:r w:rsidR="00F35C42" w:rsidRPr="00C8287D">
        <w:rPr>
          <w:b/>
          <w:bCs/>
        </w:rPr>
        <w:t>one community partner</w:t>
      </w:r>
      <w:r w:rsidR="00F35C42">
        <w:t xml:space="preserve"> and </w:t>
      </w:r>
      <w:r w:rsidR="00F35C42" w:rsidRPr="349CD5FD">
        <w:rPr>
          <w:b/>
          <w:bCs/>
        </w:rPr>
        <w:t>one UL academic/researcher (</w:t>
      </w:r>
      <w:proofErr w:type="gramStart"/>
      <w:r w:rsidR="00F35C42" w:rsidRPr="349CD5FD">
        <w:rPr>
          <w:b/>
          <w:bCs/>
        </w:rPr>
        <w:t>e.g.</w:t>
      </w:r>
      <w:proofErr w:type="gramEnd"/>
      <w:r w:rsidR="00F35C42" w:rsidRPr="349CD5FD">
        <w:rPr>
          <w:b/>
          <w:bCs/>
        </w:rPr>
        <w:t xml:space="preserve"> PhD supervisor).</w:t>
      </w:r>
      <w:r>
        <w:rPr>
          <w:b/>
          <w:bCs/>
        </w:rPr>
        <w:t xml:space="preserve"> </w:t>
      </w:r>
      <w:r>
        <w:t>One of the applicant’s team must be employed by UL for the duration of the work and assume responsibility for administering and reporting on the budget between</w:t>
      </w:r>
      <w:r w:rsidR="00C8287D">
        <w:t xml:space="preserve"> October</w:t>
      </w:r>
      <w:r w:rsidR="008D3E92">
        <w:t xml:space="preserve"> </w:t>
      </w:r>
      <w:r w:rsidR="00C8287D">
        <w:t xml:space="preserve">23 </w:t>
      </w:r>
      <w:r w:rsidR="008D3E92">
        <w:t>and A</w:t>
      </w:r>
      <w:r w:rsidR="00C8287D">
        <w:t>pril</w:t>
      </w:r>
      <w:r w:rsidR="008D3E92">
        <w:t xml:space="preserve"> </w:t>
      </w:r>
      <w:r>
        <w:t>20</w:t>
      </w:r>
      <w:r w:rsidR="008D3E92">
        <w:t>2</w:t>
      </w:r>
      <w:r w:rsidR="00C8287D">
        <w:t>4</w:t>
      </w:r>
      <w:r>
        <w:t xml:space="preserve">. </w:t>
      </w:r>
      <w:r>
        <w:rPr>
          <w:i/>
          <w:iCs/>
        </w:rPr>
        <w:t>Please note that PhD students cannot be cost code owners.</w:t>
      </w:r>
    </w:p>
    <w:p w14:paraId="5A4E0876" w14:textId="77777777" w:rsidR="009E5F1E" w:rsidRDefault="009E5F1E" w:rsidP="009E5F1E">
      <w:r>
        <w:t>Applications can be made by existing partnerships or those wishing to begin a partnership.</w:t>
      </w:r>
    </w:p>
    <w:p w14:paraId="5AA6090A" w14:textId="6080F7DA" w:rsidR="326B1B9A" w:rsidRPr="009B6AD8" w:rsidRDefault="009F571B" w:rsidP="349CD5FD">
      <w:pPr>
        <w:jc w:val="both"/>
      </w:pPr>
      <w:r w:rsidRPr="349CD5FD">
        <w:rPr>
          <w:b/>
          <w:bCs/>
          <w:color w:val="00B140"/>
        </w:rPr>
        <w:t xml:space="preserve">Funding: </w:t>
      </w:r>
      <w:r w:rsidR="2184C109">
        <w:t>Bursaries are for a maximum of €2,000</w:t>
      </w:r>
      <w:r w:rsidR="08CAD07F">
        <w:t xml:space="preserve"> each</w:t>
      </w:r>
      <w:r w:rsidR="2184C109">
        <w:t xml:space="preserve">. </w:t>
      </w:r>
      <w:r w:rsidR="00220400">
        <w:t>3</w:t>
      </w:r>
      <w:r w:rsidR="07B8ACF0">
        <w:t xml:space="preserve"> x </w:t>
      </w:r>
      <w:r>
        <w:t xml:space="preserve">€2000 </w:t>
      </w:r>
      <w:r w:rsidR="0E1F4354">
        <w:t>bursaries are available in 202</w:t>
      </w:r>
      <w:r w:rsidR="00C8287D">
        <w:t>3/24</w:t>
      </w:r>
      <w:r>
        <w:t xml:space="preserve"> </w:t>
      </w:r>
      <w:r w:rsidR="003A2673">
        <w:t xml:space="preserve"> </w:t>
      </w:r>
    </w:p>
    <w:p w14:paraId="06BD98D4" w14:textId="77777777" w:rsidR="00B71CA8" w:rsidRDefault="009F571B" w:rsidP="00B71CA8">
      <w:pPr>
        <w:spacing w:after="0"/>
        <w:rPr>
          <w:b/>
          <w:bCs/>
        </w:rPr>
      </w:pPr>
      <w:r w:rsidRPr="349CD5FD">
        <w:rPr>
          <w:b/>
          <w:bCs/>
          <w:color w:val="00B140"/>
        </w:rPr>
        <w:t>Timeline:</w:t>
      </w:r>
      <w:r w:rsidRPr="349CD5FD">
        <w:rPr>
          <w:color w:val="00B140"/>
        </w:rPr>
        <w:t xml:space="preserve"> </w:t>
      </w:r>
      <w:r>
        <w:br/>
      </w:r>
      <w:r w:rsidR="00B71CA8">
        <w:t>Launch of the scheme:</w:t>
      </w:r>
      <w:r w:rsidR="00B71CA8" w:rsidRPr="349CD5FD">
        <w:rPr>
          <w:b/>
          <w:bCs/>
        </w:rPr>
        <w:t xml:space="preserve"> </w:t>
      </w:r>
      <w:r w:rsidR="00B71CA8">
        <w:rPr>
          <w:b/>
          <w:bCs/>
        </w:rPr>
        <w:t>3</w:t>
      </w:r>
      <w:r w:rsidR="00B71CA8" w:rsidRPr="004B5F3F">
        <w:rPr>
          <w:b/>
          <w:bCs/>
          <w:vertAlign w:val="superscript"/>
        </w:rPr>
        <w:t>rd</w:t>
      </w:r>
      <w:r w:rsidR="00B71CA8">
        <w:rPr>
          <w:b/>
          <w:bCs/>
        </w:rPr>
        <w:t xml:space="preserve"> April 2023</w:t>
      </w:r>
      <w:r w:rsidR="00B71CA8">
        <w:br/>
        <w:t>Deadline for applications:</w:t>
      </w:r>
      <w:r w:rsidR="00B71CA8" w:rsidRPr="349CD5FD">
        <w:rPr>
          <w:b/>
          <w:bCs/>
        </w:rPr>
        <w:t xml:space="preserve"> </w:t>
      </w:r>
      <w:r w:rsidR="00B71CA8">
        <w:rPr>
          <w:b/>
          <w:bCs/>
        </w:rPr>
        <w:t>30</w:t>
      </w:r>
      <w:r w:rsidR="00B71CA8" w:rsidRPr="004B5F3F">
        <w:rPr>
          <w:b/>
          <w:bCs/>
          <w:vertAlign w:val="superscript"/>
        </w:rPr>
        <w:t>th</w:t>
      </w:r>
      <w:r w:rsidR="00B71CA8">
        <w:rPr>
          <w:b/>
          <w:bCs/>
        </w:rPr>
        <w:t xml:space="preserve"> June 2023</w:t>
      </w:r>
    </w:p>
    <w:p w14:paraId="329CA69A" w14:textId="77777777" w:rsidR="00B71CA8" w:rsidRPr="00F3442F" w:rsidRDefault="00B71CA8" w:rsidP="00B71CA8">
      <w:pPr>
        <w:spacing w:after="0"/>
        <w:rPr>
          <w:b/>
          <w:bCs/>
        </w:rPr>
      </w:pPr>
      <w:r w:rsidRPr="00DD07E0">
        <w:t>Results:</w:t>
      </w:r>
      <w:r>
        <w:rPr>
          <w:b/>
          <w:bCs/>
        </w:rPr>
        <w:t xml:space="preserve"> September 2023</w:t>
      </w:r>
      <w:r>
        <w:br/>
        <w:t>Work to take place</w:t>
      </w:r>
      <w:r w:rsidRPr="004B5F3F">
        <w:rPr>
          <w:b/>
          <w:bCs/>
        </w:rPr>
        <w:t>: October 2023</w:t>
      </w:r>
      <w:r>
        <w:rPr>
          <w:b/>
          <w:bCs/>
        </w:rPr>
        <w:t xml:space="preserve"> – April 2024</w:t>
      </w:r>
    </w:p>
    <w:p w14:paraId="3EB03484" w14:textId="60B9AAB9" w:rsidR="00B71CA8" w:rsidRDefault="00B71CA8" w:rsidP="00B71CA8">
      <w:pPr>
        <w:rPr>
          <w:b/>
          <w:bCs/>
        </w:rPr>
      </w:pPr>
      <w:r>
        <w:t xml:space="preserve">Summary of activity and finance report due:  </w:t>
      </w:r>
      <w:r w:rsidRPr="349CD5FD">
        <w:rPr>
          <w:b/>
          <w:bCs/>
        </w:rPr>
        <w:t>1</w:t>
      </w:r>
      <w:r>
        <w:rPr>
          <w:b/>
          <w:bCs/>
        </w:rPr>
        <w:t>6</w:t>
      </w:r>
      <w:r w:rsidRPr="001C7439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B31D5A">
        <w:rPr>
          <w:b/>
          <w:bCs/>
        </w:rPr>
        <w:t xml:space="preserve">June 2024 </w:t>
      </w:r>
    </w:p>
    <w:p w14:paraId="7FBCFCF1" w14:textId="4B250D91" w:rsidR="0013582C" w:rsidRPr="000E7079" w:rsidRDefault="0013582C" w:rsidP="00B31D5A">
      <w:pPr>
        <w:spacing w:after="0"/>
        <w:rPr>
          <w:b/>
          <w:bCs/>
          <w:color w:val="00B140"/>
        </w:rPr>
      </w:pPr>
      <w:r w:rsidRPr="349CD5FD">
        <w:rPr>
          <w:b/>
          <w:bCs/>
          <w:color w:val="00B140"/>
        </w:rPr>
        <w:lastRenderedPageBreak/>
        <w:t>General info f</w:t>
      </w:r>
      <w:r w:rsidR="000E7079" w:rsidRPr="349CD5FD">
        <w:rPr>
          <w:b/>
          <w:bCs/>
          <w:color w:val="00B140"/>
        </w:rPr>
        <w:t>or successful awardees:</w:t>
      </w:r>
    </w:p>
    <w:p w14:paraId="3A8D752F" w14:textId="74374C2B" w:rsidR="000E7079" w:rsidRDefault="000E7079" w:rsidP="349CD5FD">
      <w:pPr>
        <w:jc w:val="both"/>
      </w:pPr>
    </w:p>
    <w:p w14:paraId="7FA01ED6" w14:textId="3CB0D205" w:rsidR="000E7079" w:rsidRDefault="326B1B9A" w:rsidP="349CD5FD">
      <w:pPr>
        <w:jc w:val="both"/>
      </w:pPr>
      <w:r>
        <w:t>Successful awardees may be requested to participate in a seminar/workshop highlighting the outcome and impact of projects (post-project close).</w:t>
      </w:r>
    </w:p>
    <w:p w14:paraId="32B15E6B" w14:textId="14AE3FF8" w:rsidR="000E7079" w:rsidRDefault="326B1B9A" w:rsidP="349CD5FD">
      <w:pPr>
        <w:jc w:val="both"/>
      </w:pPr>
      <w:r>
        <w:t>PPI Ignite Network @ UL must be acknowledged on all project outputs and communications.</w:t>
      </w:r>
    </w:p>
    <w:p w14:paraId="55C607E2" w14:textId="77777777" w:rsidR="000E7079" w:rsidRDefault="000E7079" w:rsidP="349CD5FD">
      <w:pPr>
        <w:jc w:val="both"/>
      </w:pPr>
    </w:p>
    <w:p w14:paraId="212E27A2" w14:textId="28086119" w:rsidR="00E82B67" w:rsidRDefault="009F571B" w:rsidP="003143A0">
      <w:pPr>
        <w:rPr>
          <w:b/>
          <w:bCs/>
        </w:rPr>
      </w:pPr>
      <w:r w:rsidRPr="349CD5FD">
        <w:rPr>
          <w:b/>
          <w:bCs/>
          <w:color w:val="00B140"/>
        </w:rPr>
        <w:t>Application process</w:t>
      </w:r>
      <w:r>
        <w:br/>
      </w:r>
      <w:r w:rsidR="00C74716">
        <w:t>C</w:t>
      </w:r>
      <w:r w:rsidR="00DB032A">
        <w:t>ompl</w:t>
      </w:r>
      <w:r w:rsidR="078DD982">
        <w:t>e</w:t>
      </w:r>
      <w:r w:rsidR="00DB032A">
        <w:t>ted application</w:t>
      </w:r>
      <w:r w:rsidR="2D39E29E">
        <w:t xml:space="preserve"> forms</w:t>
      </w:r>
      <w:r w:rsidR="00DB032A">
        <w:t xml:space="preserve"> to </w:t>
      </w:r>
      <w:hyperlink r:id="rId13">
        <w:r w:rsidR="00DB032A" w:rsidRPr="349CD5FD">
          <w:rPr>
            <w:rStyle w:val="Hyperlink"/>
          </w:rPr>
          <w:t>PPI-ignite@ul.ie</w:t>
        </w:r>
      </w:hyperlink>
      <w:r w:rsidR="00AA0B92">
        <w:t xml:space="preserve"> by</w:t>
      </w:r>
      <w:r w:rsidR="003143A0">
        <w:t xml:space="preserve"> </w:t>
      </w:r>
      <w:r w:rsidR="00E21D09">
        <w:rPr>
          <w:b/>
          <w:bCs/>
        </w:rPr>
        <w:t>30</w:t>
      </w:r>
      <w:r w:rsidR="00E21D09" w:rsidRPr="00E21D09">
        <w:rPr>
          <w:b/>
          <w:bCs/>
          <w:vertAlign w:val="superscript"/>
        </w:rPr>
        <w:t>th</w:t>
      </w:r>
      <w:r w:rsidR="00E21D09">
        <w:rPr>
          <w:b/>
          <w:bCs/>
        </w:rPr>
        <w:t xml:space="preserve"> Jun</w:t>
      </w:r>
      <w:r w:rsidR="00FF4F3A">
        <w:rPr>
          <w:b/>
          <w:bCs/>
        </w:rPr>
        <w:t>e 2023</w:t>
      </w:r>
      <w:r>
        <w:br/>
      </w:r>
      <w:r>
        <w:br/>
      </w:r>
      <w:r w:rsidR="00E82B67">
        <w:t>Applications will be m</w:t>
      </w:r>
      <w:r w:rsidR="00214FB9">
        <w:t>ark</w:t>
      </w:r>
      <w:r w:rsidR="00E82B67">
        <w:t>ed on the following criteria:</w:t>
      </w:r>
    </w:p>
    <w:p w14:paraId="68E1B7A1" w14:textId="7895DB4C" w:rsidR="001E0A0A" w:rsidRDefault="001E0A0A" w:rsidP="349CD5FD">
      <w:pPr>
        <w:pStyle w:val="ListParagraph"/>
        <w:numPr>
          <w:ilvl w:val="0"/>
          <w:numId w:val="3"/>
        </w:numPr>
        <w:jc w:val="both"/>
      </w:pPr>
      <w:r>
        <w:t xml:space="preserve">Quality of </w:t>
      </w:r>
      <w:r w:rsidR="00F36209">
        <w:t xml:space="preserve">the </w:t>
      </w:r>
      <w:r>
        <w:t>pro</w:t>
      </w:r>
      <w:r w:rsidR="00E82B67">
        <w:t>posal (well thought-out idea)</w:t>
      </w:r>
    </w:p>
    <w:p w14:paraId="273EFA36" w14:textId="04BF035E" w:rsidR="008E249B" w:rsidRDefault="008E249B" w:rsidP="349CD5FD">
      <w:pPr>
        <w:pStyle w:val="ListParagraph"/>
        <w:numPr>
          <w:ilvl w:val="0"/>
          <w:numId w:val="3"/>
        </w:numPr>
        <w:jc w:val="both"/>
      </w:pPr>
      <w:r>
        <w:t>Feas</w:t>
      </w:r>
      <w:r w:rsidR="00800AE2">
        <w:t>i</w:t>
      </w:r>
      <w:r>
        <w:t>bility (realistic timeframe, accurate budget</w:t>
      </w:r>
      <w:r w:rsidR="00DF1B3B">
        <w:t>)</w:t>
      </w:r>
    </w:p>
    <w:p w14:paraId="364E9834" w14:textId="3EBC1985" w:rsidR="001E0A0A" w:rsidRDefault="00DF1B3B" w:rsidP="349CD5FD">
      <w:pPr>
        <w:pStyle w:val="ListParagraph"/>
        <w:numPr>
          <w:ilvl w:val="0"/>
          <w:numId w:val="3"/>
        </w:numPr>
        <w:jc w:val="both"/>
      </w:pPr>
      <w:r>
        <w:t>Communication strategy</w:t>
      </w:r>
    </w:p>
    <w:p w14:paraId="2E9039B8" w14:textId="1803852E" w:rsidR="003F12B5" w:rsidRDefault="008E249B" w:rsidP="001515D8">
      <w:pPr>
        <w:pStyle w:val="ListParagraph"/>
        <w:numPr>
          <w:ilvl w:val="0"/>
          <w:numId w:val="3"/>
        </w:numPr>
        <w:jc w:val="both"/>
      </w:pPr>
      <w:r>
        <w:t>Clear articulation of l</w:t>
      </w:r>
      <w:r w:rsidR="001E0A0A">
        <w:t>ikely impact/outcomes on PPI in health research</w:t>
      </w:r>
    </w:p>
    <w:sectPr w:rsidR="003F12B5" w:rsidSect="002B222F">
      <w:pgSz w:w="11906" w:h="16838"/>
      <w:pgMar w:top="72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7662" w14:textId="77777777" w:rsidR="00076FB3" w:rsidRDefault="00076FB3" w:rsidP="00241D9B">
      <w:pPr>
        <w:spacing w:after="0" w:line="240" w:lineRule="auto"/>
      </w:pPr>
      <w:r>
        <w:separator/>
      </w:r>
    </w:p>
  </w:endnote>
  <w:endnote w:type="continuationSeparator" w:id="0">
    <w:p w14:paraId="2BB5C11F" w14:textId="77777777" w:rsidR="00076FB3" w:rsidRDefault="00076FB3" w:rsidP="0024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84F44" w14:textId="77777777" w:rsidR="00076FB3" w:rsidRDefault="00076FB3" w:rsidP="00241D9B">
      <w:pPr>
        <w:spacing w:after="0" w:line="240" w:lineRule="auto"/>
      </w:pPr>
      <w:r>
        <w:separator/>
      </w:r>
    </w:p>
  </w:footnote>
  <w:footnote w:type="continuationSeparator" w:id="0">
    <w:p w14:paraId="15463773" w14:textId="77777777" w:rsidR="00076FB3" w:rsidRDefault="00076FB3" w:rsidP="00241D9B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yKYado4QK30hW" int2:id="EcnXqVa5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2DA8"/>
    <w:multiLevelType w:val="hybridMultilevel"/>
    <w:tmpl w:val="8CE013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36770"/>
    <w:multiLevelType w:val="hybridMultilevel"/>
    <w:tmpl w:val="F04C3FEA"/>
    <w:lvl w:ilvl="0" w:tplc="0EB2FEDC">
      <w:start w:val="3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27E1ECB"/>
    <w:multiLevelType w:val="hybridMultilevel"/>
    <w:tmpl w:val="112AF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726860">
    <w:abstractNumId w:val="2"/>
  </w:num>
  <w:num w:numId="2" w16cid:durableId="1666475540">
    <w:abstractNumId w:val="1"/>
  </w:num>
  <w:num w:numId="3" w16cid:durableId="1281032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IE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wNTUzsTSytDS1NDJW0lEKTi0uzszPAykwqQUA6PgYgywAAAA="/>
  </w:docVars>
  <w:rsids>
    <w:rsidRoot w:val="009F571B"/>
    <w:rsid w:val="00005A55"/>
    <w:rsid w:val="00034963"/>
    <w:rsid w:val="00076FB3"/>
    <w:rsid w:val="000945D7"/>
    <w:rsid w:val="000B1315"/>
    <w:rsid w:val="000E7079"/>
    <w:rsid w:val="001247A0"/>
    <w:rsid w:val="0013582C"/>
    <w:rsid w:val="001C7439"/>
    <w:rsid w:val="001E0A0A"/>
    <w:rsid w:val="00214FB9"/>
    <w:rsid w:val="00220400"/>
    <w:rsid w:val="00241D9B"/>
    <w:rsid w:val="002B222F"/>
    <w:rsid w:val="002C430C"/>
    <w:rsid w:val="00300470"/>
    <w:rsid w:val="003143A0"/>
    <w:rsid w:val="003837E8"/>
    <w:rsid w:val="00387002"/>
    <w:rsid w:val="003A2673"/>
    <w:rsid w:val="003F12B5"/>
    <w:rsid w:val="003F7E64"/>
    <w:rsid w:val="00452D82"/>
    <w:rsid w:val="0047436F"/>
    <w:rsid w:val="004860B8"/>
    <w:rsid w:val="004B5F3F"/>
    <w:rsid w:val="004C6A58"/>
    <w:rsid w:val="005232FE"/>
    <w:rsid w:val="00526770"/>
    <w:rsid w:val="00532C08"/>
    <w:rsid w:val="00597890"/>
    <w:rsid w:val="005B3DBC"/>
    <w:rsid w:val="005E7783"/>
    <w:rsid w:val="00601609"/>
    <w:rsid w:val="00613A86"/>
    <w:rsid w:val="00687AB4"/>
    <w:rsid w:val="00735328"/>
    <w:rsid w:val="007431E2"/>
    <w:rsid w:val="0079290E"/>
    <w:rsid w:val="00800AE2"/>
    <w:rsid w:val="008C58CB"/>
    <w:rsid w:val="008D3E92"/>
    <w:rsid w:val="008E249B"/>
    <w:rsid w:val="009439DF"/>
    <w:rsid w:val="00950F21"/>
    <w:rsid w:val="00961823"/>
    <w:rsid w:val="009A757D"/>
    <w:rsid w:val="009B6AD8"/>
    <w:rsid w:val="009E5F1E"/>
    <w:rsid w:val="009F571B"/>
    <w:rsid w:val="009F5949"/>
    <w:rsid w:val="00AA0B92"/>
    <w:rsid w:val="00B077F3"/>
    <w:rsid w:val="00B21ED1"/>
    <w:rsid w:val="00B31D5A"/>
    <w:rsid w:val="00B71CA8"/>
    <w:rsid w:val="00B92694"/>
    <w:rsid w:val="00BD194B"/>
    <w:rsid w:val="00BD3BC1"/>
    <w:rsid w:val="00C1213B"/>
    <w:rsid w:val="00C74716"/>
    <w:rsid w:val="00C8287D"/>
    <w:rsid w:val="00D80B33"/>
    <w:rsid w:val="00DB032A"/>
    <w:rsid w:val="00DD07E0"/>
    <w:rsid w:val="00DD1B01"/>
    <w:rsid w:val="00DF1B3B"/>
    <w:rsid w:val="00E21D09"/>
    <w:rsid w:val="00E62CC1"/>
    <w:rsid w:val="00E65744"/>
    <w:rsid w:val="00E82B67"/>
    <w:rsid w:val="00E975B6"/>
    <w:rsid w:val="00EF7E8E"/>
    <w:rsid w:val="00F0178C"/>
    <w:rsid w:val="00F3442F"/>
    <w:rsid w:val="00F35C42"/>
    <w:rsid w:val="00F36209"/>
    <w:rsid w:val="00F66FDE"/>
    <w:rsid w:val="00F72E2F"/>
    <w:rsid w:val="00FD778B"/>
    <w:rsid w:val="00FF4F3A"/>
    <w:rsid w:val="02ACF4DC"/>
    <w:rsid w:val="037EE431"/>
    <w:rsid w:val="03988EE8"/>
    <w:rsid w:val="03A78F02"/>
    <w:rsid w:val="04084C29"/>
    <w:rsid w:val="051AB492"/>
    <w:rsid w:val="05858C62"/>
    <w:rsid w:val="065BBFE2"/>
    <w:rsid w:val="078DD982"/>
    <w:rsid w:val="07B8ACF0"/>
    <w:rsid w:val="08CAD07F"/>
    <w:rsid w:val="08D3638A"/>
    <w:rsid w:val="0ACCD6E5"/>
    <w:rsid w:val="0B67F0A4"/>
    <w:rsid w:val="0C69248A"/>
    <w:rsid w:val="0D4F5C51"/>
    <w:rsid w:val="0D566CD6"/>
    <w:rsid w:val="0E1F4354"/>
    <w:rsid w:val="0E633890"/>
    <w:rsid w:val="0EE055A8"/>
    <w:rsid w:val="0F632069"/>
    <w:rsid w:val="0FCA0764"/>
    <w:rsid w:val="0FEBFEAD"/>
    <w:rsid w:val="1177194A"/>
    <w:rsid w:val="12A0D2C6"/>
    <w:rsid w:val="12FE8F73"/>
    <w:rsid w:val="14E530C8"/>
    <w:rsid w:val="15423558"/>
    <w:rsid w:val="1546EC0C"/>
    <w:rsid w:val="155576AC"/>
    <w:rsid w:val="16D2271B"/>
    <w:rsid w:val="1799E8B1"/>
    <w:rsid w:val="18351D6C"/>
    <w:rsid w:val="18731AB1"/>
    <w:rsid w:val="1887FCD8"/>
    <w:rsid w:val="18C5F55F"/>
    <w:rsid w:val="1B829D28"/>
    <w:rsid w:val="1BBD9545"/>
    <w:rsid w:val="1CBAF487"/>
    <w:rsid w:val="1D535A3B"/>
    <w:rsid w:val="1F712A24"/>
    <w:rsid w:val="1FF55C46"/>
    <w:rsid w:val="20E85712"/>
    <w:rsid w:val="2184C109"/>
    <w:rsid w:val="21F2EDB4"/>
    <w:rsid w:val="239D9708"/>
    <w:rsid w:val="2430AD2D"/>
    <w:rsid w:val="268A845E"/>
    <w:rsid w:val="27F7E787"/>
    <w:rsid w:val="280507B6"/>
    <w:rsid w:val="28663A57"/>
    <w:rsid w:val="28C2BEF6"/>
    <w:rsid w:val="2989CFD5"/>
    <w:rsid w:val="29CE967E"/>
    <w:rsid w:val="2A60F4BE"/>
    <w:rsid w:val="2AFCF565"/>
    <w:rsid w:val="2BCDADA4"/>
    <w:rsid w:val="2C98C5C6"/>
    <w:rsid w:val="2D39E29E"/>
    <w:rsid w:val="2EF9E895"/>
    <w:rsid w:val="326B1B9A"/>
    <w:rsid w:val="32BA11B4"/>
    <w:rsid w:val="32E98DEB"/>
    <w:rsid w:val="3402D6E5"/>
    <w:rsid w:val="349CD5FD"/>
    <w:rsid w:val="34D8F489"/>
    <w:rsid w:val="34FECA3D"/>
    <w:rsid w:val="35165D3E"/>
    <w:rsid w:val="358288DB"/>
    <w:rsid w:val="370530DF"/>
    <w:rsid w:val="371396EC"/>
    <w:rsid w:val="371FEEEE"/>
    <w:rsid w:val="37CC92DB"/>
    <w:rsid w:val="37F7A697"/>
    <w:rsid w:val="38804088"/>
    <w:rsid w:val="38D8CDCE"/>
    <w:rsid w:val="3A8C6DC7"/>
    <w:rsid w:val="3AA1B0A3"/>
    <w:rsid w:val="3B39F0B1"/>
    <w:rsid w:val="3B436D9A"/>
    <w:rsid w:val="3C4BABFC"/>
    <w:rsid w:val="3D580BBB"/>
    <w:rsid w:val="3F1042C4"/>
    <w:rsid w:val="40C6D9B1"/>
    <w:rsid w:val="4191DD27"/>
    <w:rsid w:val="42B24260"/>
    <w:rsid w:val="42B7693A"/>
    <w:rsid w:val="430062CF"/>
    <w:rsid w:val="481FD85B"/>
    <w:rsid w:val="4861A5AE"/>
    <w:rsid w:val="49B17C94"/>
    <w:rsid w:val="4A4F4B91"/>
    <w:rsid w:val="4AA407C5"/>
    <w:rsid w:val="4C1522F5"/>
    <w:rsid w:val="4CB557BE"/>
    <w:rsid w:val="4CDDAB39"/>
    <w:rsid w:val="4CFD4F4B"/>
    <w:rsid w:val="4D9283B3"/>
    <w:rsid w:val="4E784DB5"/>
    <w:rsid w:val="4EF46AFF"/>
    <w:rsid w:val="50141E16"/>
    <w:rsid w:val="50EA963B"/>
    <w:rsid w:val="5329A1D6"/>
    <w:rsid w:val="5338A1E6"/>
    <w:rsid w:val="534BBED8"/>
    <w:rsid w:val="536C90CF"/>
    <w:rsid w:val="53B884DD"/>
    <w:rsid w:val="53C2DD4D"/>
    <w:rsid w:val="53F5C117"/>
    <w:rsid w:val="54741E4F"/>
    <w:rsid w:val="5563AC83"/>
    <w:rsid w:val="5720A4EB"/>
    <w:rsid w:val="5828D8E3"/>
    <w:rsid w:val="584BE20F"/>
    <w:rsid w:val="58C9323A"/>
    <w:rsid w:val="58F1DD0B"/>
    <w:rsid w:val="591E8F1F"/>
    <w:rsid w:val="59464964"/>
    <w:rsid w:val="5B43B3CB"/>
    <w:rsid w:val="5BE29113"/>
    <w:rsid w:val="5C9D261F"/>
    <w:rsid w:val="5D20D8D5"/>
    <w:rsid w:val="5D55960B"/>
    <w:rsid w:val="5D56BFFC"/>
    <w:rsid w:val="5D5C4CF1"/>
    <w:rsid w:val="5E90BDD1"/>
    <w:rsid w:val="5EDF1E1C"/>
    <w:rsid w:val="5FA30669"/>
    <w:rsid w:val="6034CBE3"/>
    <w:rsid w:val="626CCF2D"/>
    <w:rsid w:val="637116DF"/>
    <w:rsid w:val="64A00337"/>
    <w:rsid w:val="6560A7F0"/>
    <w:rsid w:val="6754E338"/>
    <w:rsid w:val="676051C2"/>
    <w:rsid w:val="696C0F2F"/>
    <w:rsid w:val="6A2AD3BC"/>
    <w:rsid w:val="6B61C51B"/>
    <w:rsid w:val="6B6941C7"/>
    <w:rsid w:val="6C747307"/>
    <w:rsid w:val="6CC3AC67"/>
    <w:rsid w:val="6D058BA9"/>
    <w:rsid w:val="6D9431AE"/>
    <w:rsid w:val="6E9AFB8F"/>
    <w:rsid w:val="6EDB80B0"/>
    <w:rsid w:val="7027EB89"/>
    <w:rsid w:val="70F9E19D"/>
    <w:rsid w:val="7101D7E3"/>
    <w:rsid w:val="721CBD44"/>
    <w:rsid w:val="72F35AAB"/>
    <w:rsid w:val="744DEF4F"/>
    <w:rsid w:val="76E384FC"/>
    <w:rsid w:val="7885A5D4"/>
    <w:rsid w:val="7B575F5A"/>
    <w:rsid w:val="7C448A8A"/>
    <w:rsid w:val="7C919941"/>
    <w:rsid w:val="7DE22D10"/>
    <w:rsid w:val="7F7C2B4C"/>
    <w:rsid w:val="7FA8D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1D79A"/>
  <w15:chartTrackingRefBased/>
  <w15:docId w15:val="{D34B9273-5DB3-4D93-BAB9-6AF2FCDF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3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47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9B"/>
  </w:style>
  <w:style w:type="paragraph" w:styleId="Footer">
    <w:name w:val="footer"/>
    <w:basedOn w:val="Normal"/>
    <w:link w:val="FooterChar"/>
    <w:uiPriority w:val="99"/>
    <w:unhideWhenUsed/>
    <w:rsid w:val="00241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D9B"/>
  </w:style>
  <w:style w:type="table" w:styleId="TableGrid">
    <w:name w:val="Table Grid"/>
    <w:basedOn w:val="TableNormal"/>
    <w:uiPriority w:val="39"/>
    <w:rsid w:val="0094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0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4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4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4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7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6574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B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PI-ignite@ul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l.ie/hri/themes/public-and-patient-involvement-ppi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cc4787-355f-4046-9859-e106b1aec91d">
      <UserInfo>
        <DisplayName/>
        <AccountId xsi:nil="true"/>
        <AccountType/>
      </UserInfo>
    </SharedWithUsers>
    <Meeting_x0020_date xmlns="8851de53-ae2d-4e05-a36e-a358f389785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3EFE05B9FFF4C858601F37D4F02E0" ma:contentTypeVersion="14" ma:contentTypeDescription="Create a new document." ma:contentTypeScope="" ma:versionID="a3c7a705836d705ce0bb5c19ab797d76">
  <xsd:schema xmlns:xsd="http://www.w3.org/2001/XMLSchema" xmlns:xs="http://www.w3.org/2001/XMLSchema" xmlns:p="http://schemas.microsoft.com/office/2006/metadata/properties" xmlns:ns2="8851de53-ae2d-4e05-a36e-a358f3897856" xmlns:ns3="77cc4787-355f-4046-9859-e106b1aec91d" targetNamespace="http://schemas.microsoft.com/office/2006/metadata/properties" ma:root="true" ma:fieldsID="2a421ddcbf955073d1543986103ba986" ns2:_="" ns3:_="">
    <xsd:import namespace="8851de53-ae2d-4e05-a36e-a358f3897856"/>
    <xsd:import namespace="77cc4787-355f-4046-9859-e106b1aec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eting_x0020_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1de53-ae2d-4e05-a36e-a358f3897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eting_x0020_date" ma:index="20" nillable="true" ma:displayName="Meeting date" ma:format="DateOnly" ma:internalName="Meeting_x0020_date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c4787-355f-4046-9859-e106b1aec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1292AC-F412-49D9-954C-561DE4355549}">
  <ds:schemaRefs>
    <ds:schemaRef ds:uri="http://schemas.microsoft.com/office/2006/metadata/properties"/>
    <ds:schemaRef ds:uri="http://schemas.microsoft.com/office/infopath/2007/PartnerControls"/>
    <ds:schemaRef ds:uri="77cc4787-355f-4046-9859-e106b1aec91d"/>
    <ds:schemaRef ds:uri="8851de53-ae2d-4e05-a36e-a358f3897856"/>
  </ds:schemaRefs>
</ds:datastoreItem>
</file>

<file path=customXml/itemProps2.xml><?xml version="1.0" encoding="utf-8"?>
<ds:datastoreItem xmlns:ds="http://schemas.openxmlformats.org/officeDocument/2006/customXml" ds:itemID="{279CCB2B-61A9-438D-8DA2-CCF710E23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1de53-ae2d-4e05-a36e-a358f3897856"/>
    <ds:schemaRef ds:uri="77cc4787-355f-4046-9859-e106b1aec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687271-8AB6-42C0-B613-C90FD6B16C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445</Words>
  <Characters>2540</Characters>
  <Application>Microsoft Office Word</Application>
  <DocSecurity>0</DocSecurity>
  <Lines>21</Lines>
  <Paragraphs>5</Paragraphs>
  <ScaleCrop>false</ScaleCrop>
  <Company>University of Limerick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McInerney</dc:creator>
  <cp:keywords/>
  <dc:description/>
  <cp:lastModifiedBy>Denia.Claudino</cp:lastModifiedBy>
  <cp:revision>33</cp:revision>
  <cp:lastPrinted>2020-01-22T11:38:00Z</cp:lastPrinted>
  <dcterms:created xsi:type="dcterms:W3CDTF">2022-10-06T11:22:00Z</dcterms:created>
  <dcterms:modified xsi:type="dcterms:W3CDTF">2023-04-03T16:18:00Z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0x010100B023EFE05B9FFF4C858601F37D4F02E0</vt:lpwstr>
  </property>
  <property fmtid="{D5CDD505-2E9C-101B-9397-08002B2CF9AE}" pid="3" name="ComplianceAssetId">
    <vt:lpwstr/>
  </property>
  <property fmtid="{D5CDD505-2E9C-101B-9397-08002B2CF9AE}" pid="4" name="GrammarlyDocumentId">
    <vt:lpwstr>3b8124310272ed462c6131be4b6da98cd2c18869f60147f4df5a1505067cf174</vt:lpwstr>
  </property>
</Properties>
</file>