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3621" w14:textId="77777777" w:rsidR="00E71D9A" w:rsidRDefault="003E6BB6" w:rsidP="00E71D9A">
      <w:pPr>
        <w:spacing w:before="120" w:after="120" w:line="240" w:lineRule="auto"/>
        <w:ind w:left="720" w:hanging="862"/>
        <w:jc w:val="center"/>
        <w:rPr>
          <w:rFonts w:cstheme="minorHAnsi"/>
        </w:rPr>
      </w:pPr>
      <w:r w:rsidRPr="00C61EA0">
        <w:rPr>
          <w:rFonts w:cstheme="minorHAnsi"/>
          <w:noProof/>
        </w:rPr>
        <w:drawing>
          <wp:inline distT="0" distB="0" distL="0" distR="0" wp14:anchorId="7776BE99" wp14:editId="28FD7CE2">
            <wp:extent cx="961390" cy="11044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_LogoStacked_RGB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96" cy="116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E01C4" w14:textId="1C896C80" w:rsidR="00E17E85" w:rsidRPr="00B253A2" w:rsidRDefault="00E17E85" w:rsidP="00E17E85">
      <w:pPr>
        <w:spacing w:before="120" w:after="120" w:line="240" w:lineRule="auto"/>
        <w:ind w:left="720" w:hanging="862"/>
        <w:jc w:val="center"/>
        <w:rPr>
          <w:rFonts w:cstheme="minorHAnsi"/>
          <w:b/>
          <w:bCs/>
          <w:smallCaps/>
          <w:sz w:val="28"/>
          <w:szCs w:val="28"/>
        </w:rPr>
      </w:pPr>
      <w:r w:rsidRPr="00B253A2">
        <w:rPr>
          <w:rFonts w:cstheme="minorHAnsi"/>
          <w:b/>
          <w:bCs/>
          <w:smallCaps/>
          <w:sz w:val="28"/>
          <w:szCs w:val="28"/>
        </w:rPr>
        <w:t>Faculty Learning</w:t>
      </w:r>
      <w:r w:rsidR="00FC0070">
        <w:rPr>
          <w:rFonts w:cstheme="minorHAnsi"/>
          <w:b/>
          <w:bCs/>
          <w:smallCaps/>
          <w:sz w:val="28"/>
          <w:szCs w:val="28"/>
        </w:rPr>
        <w:t xml:space="preserve">, </w:t>
      </w:r>
      <w:r w:rsidRPr="00B253A2">
        <w:rPr>
          <w:rFonts w:cstheme="minorHAnsi"/>
          <w:b/>
          <w:bCs/>
          <w:smallCaps/>
          <w:sz w:val="28"/>
          <w:szCs w:val="28"/>
        </w:rPr>
        <w:t>Teaching</w:t>
      </w:r>
      <w:r w:rsidR="00FC0070">
        <w:rPr>
          <w:rFonts w:cstheme="minorHAnsi"/>
          <w:b/>
          <w:bCs/>
          <w:smallCaps/>
          <w:sz w:val="28"/>
          <w:szCs w:val="28"/>
        </w:rPr>
        <w:t xml:space="preserve"> and Assessment</w:t>
      </w:r>
      <w:r w:rsidRPr="00B253A2">
        <w:rPr>
          <w:rFonts w:cstheme="minorHAnsi"/>
          <w:b/>
          <w:bCs/>
          <w:smallCaps/>
          <w:sz w:val="28"/>
          <w:szCs w:val="28"/>
        </w:rPr>
        <w:t xml:space="preserve"> Committee</w:t>
      </w:r>
    </w:p>
    <w:p w14:paraId="5A302460" w14:textId="1F2E6BD9" w:rsidR="00E17E85" w:rsidRPr="00B253A2" w:rsidRDefault="00E17E85" w:rsidP="00E17E85">
      <w:pPr>
        <w:spacing w:before="120" w:after="120" w:line="240" w:lineRule="auto"/>
        <w:ind w:left="720" w:hanging="862"/>
        <w:jc w:val="center"/>
        <w:rPr>
          <w:rFonts w:cstheme="minorHAnsi"/>
          <w:b/>
          <w:bCs/>
          <w:smallCaps/>
          <w:sz w:val="28"/>
          <w:szCs w:val="28"/>
        </w:rPr>
      </w:pPr>
      <w:r w:rsidRPr="00B253A2">
        <w:rPr>
          <w:rFonts w:cstheme="minorHAnsi"/>
          <w:b/>
          <w:bCs/>
          <w:smallCaps/>
          <w:sz w:val="28"/>
          <w:szCs w:val="28"/>
        </w:rPr>
        <w:t>Terms of Reference</w:t>
      </w:r>
    </w:p>
    <w:p w14:paraId="52EC16EF" w14:textId="77777777" w:rsidR="00E17E85" w:rsidRDefault="00E17E85" w:rsidP="00E17E85">
      <w:pPr>
        <w:spacing w:before="120" w:after="120" w:line="240" w:lineRule="auto"/>
        <w:ind w:left="720" w:hanging="862"/>
        <w:jc w:val="center"/>
        <w:rPr>
          <w:rFonts w:cstheme="minorHAnsi"/>
          <w:b/>
          <w:bCs/>
          <w:sz w:val="28"/>
          <w:szCs w:val="28"/>
        </w:rPr>
      </w:pPr>
    </w:p>
    <w:p w14:paraId="4B9E2AD1" w14:textId="59B11745" w:rsidR="00A45C33" w:rsidRPr="00E17E85" w:rsidRDefault="00A45C33" w:rsidP="00E17E85">
      <w:pPr>
        <w:pStyle w:val="ListParagraph"/>
        <w:numPr>
          <w:ilvl w:val="0"/>
          <w:numId w:val="9"/>
        </w:numPr>
        <w:spacing w:before="120" w:after="120" w:line="240" w:lineRule="auto"/>
        <w:ind w:left="0" w:firstLine="0"/>
        <w:rPr>
          <w:rFonts w:cstheme="minorHAnsi"/>
          <w:b/>
          <w:bCs/>
          <w:smallCaps/>
          <w:sz w:val="24"/>
          <w:szCs w:val="24"/>
        </w:rPr>
      </w:pPr>
      <w:r w:rsidRPr="00E17E85">
        <w:rPr>
          <w:rFonts w:cstheme="minorHAnsi"/>
          <w:b/>
          <w:bCs/>
          <w:smallCaps/>
          <w:sz w:val="24"/>
          <w:szCs w:val="24"/>
        </w:rPr>
        <w:t>Aim and Rationale</w:t>
      </w:r>
    </w:p>
    <w:p w14:paraId="40E288C5" w14:textId="1154AE76" w:rsidR="00A45C33" w:rsidRPr="00C61EA0" w:rsidRDefault="005D2836" w:rsidP="00A45C3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This proposal</w:t>
      </w:r>
      <w:r w:rsidR="008D14BA">
        <w:rPr>
          <w:rFonts w:cstheme="minorHAnsi"/>
        </w:rPr>
        <w:t xml:space="preserve"> </w:t>
      </w:r>
      <w:r>
        <w:rPr>
          <w:rFonts w:cstheme="minorHAnsi"/>
        </w:rPr>
        <w:t xml:space="preserve">is for each faculty to </w:t>
      </w:r>
      <w:r w:rsidRPr="00C61EA0">
        <w:rPr>
          <w:rFonts w:cstheme="minorHAnsi"/>
        </w:rPr>
        <w:t>establish a</w:t>
      </w:r>
      <w:r>
        <w:rPr>
          <w:rFonts w:cstheme="minorHAnsi"/>
        </w:rPr>
        <w:t xml:space="preserve"> single</w:t>
      </w:r>
      <w:r w:rsidRPr="00C61EA0">
        <w:rPr>
          <w:rFonts w:cstheme="minorHAnsi"/>
        </w:rPr>
        <w:t xml:space="preserve"> </w:t>
      </w:r>
      <w:r w:rsidR="00E35A1A">
        <w:rPr>
          <w:rFonts w:cstheme="minorHAnsi"/>
        </w:rPr>
        <w:t>F</w:t>
      </w:r>
      <w:r w:rsidRPr="00C61EA0">
        <w:rPr>
          <w:rFonts w:cstheme="minorHAnsi"/>
        </w:rPr>
        <w:t xml:space="preserve">aculty </w:t>
      </w:r>
      <w:r>
        <w:rPr>
          <w:rFonts w:cstheme="minorHAnsi"/>
        </w:rPr>
        <w:t>Learning</w:t>
      </w:r>
      <w:r w:rsidR="00E35A1A">
        <w:rPr>
          <w:rFonts w:cstheme="minorHAnsi"/>
        </w:rPr>
        <w:t>,</w:t>
      </w:r>
      <w:r>
        <w:rPr>
          <w:rFonts w:cstheme="minorHAnsi"/>
        </w:rPr>
        <w:t xml:space="preserve"> Teaching</w:t>
      </w:r>
      <w:r w:rsidR="00E35A1A">
        <w:rPr>
          <w:rFonts w:cstheme="minorHAnsi"/>
        </w:rPr>
        <w:t xml:space="preserve"> and Assessment</w:t>
      </w:r>
      <w:r w:rsidRPr="00C61EA0">
        <w:rPr>
          <w:rFonts w:cstheme="minorHAnsi"/>
        </w:rPr>
        <w:t xml:space="preserve"> Committee</w:t>
      </w:r>
      <w:r w:rsidR="00E35A1A">
        <w:rPr>
          <w:rFonts w:cstheme="minorHAnsi"/>
        </w:rPr>
        <w:t xml:space="preserve"> (FLT</w:t>
      </w:r>
      <w:r w:rsidR="00FC0070">
        <w:rPr>
          <w:rFonts w:cstheme="minorHAnsi"/>
        </w:rPr>
        <w:t>AC)</w:t>
      </w:r>
      <w:r w:rsidRPr="00C61EA0">
        <w:rPr>
          <w:rFonts w:cstheme="minorHAnsi"/>
        </w:rPr>
        <w:t xml:space="preserve">, where one is not in </w:t>
      </w:r>
      <w:r>
        <w:rPr>
          <w:rFonts w:cstheme="minorHAnsi"/>
        </w:rPr>
        <w:t xml:space="preserve">place.  This is in a bid to providing an </w:t>
      </w:r>
      <w:r w:rsidR="00A703F6">
        <w:rPr>
          <w:rFonts w:cstheme="minorHAnsi"/>
        </w:rPr>
        <w:t>institutionally consistent approach to ensuring clarity of c</w:t>
      </w:r>
      <w:r w:rsidR="006B6889" w:rsidRPr="00C61EA0">
        <w:rPr>
          <w:rFonts w:cstheme="minorHAnsi"/>
        </w:rPr>
        <w:t>ommunication and alignment</w:t>
      </w:r>
      <w:r w:rsidR="002D6AEC" w:rsidRPr="00C61EA0">
        <w:rPr>
          <w:rFonts w:cstheme="minorHAnsi"/>
        </w:rPr>
        <w:t xml:space="preserve"> o</w:t>
      </w:r>
      <w:r w:rsidR="008F7A6B">
        <w:rPr>
          <w:rFonts w:cstheme="minorHAnsi"/>
        </w:rPr>
        <w:t>f</w:t>
      </w:r>
      <w:r w:rsidR="002D6AEC" w:rsidRPr="00C61EA0">
        <w:rPr>
          <w:rFonts w:cstheme="minorHAnsi"/>
        </w:rPr>
        <w:t xml:space="preserve"> </w:t>
      </w:r>
      <w:r w:rsidR="00341315">
        <w:rPr>
          <w:rFonts w:cstheme="minorHAnsi"/>
        </w:rPr>
        <w:t xml:space="preserve">initiatives and </w:t>
      </w:r>
      <w:r w:rsidR="002D6AEC" w:rsidRPr="00C61EA0">
        <w:rPr>
          <w:rFonts w:cstheme="minorHAnsi"/>
        </w:rPr>
        <w:t xml:space="preserve">supports in </w:t>
      </w:r>
      <w:r w:rsidR="00E35A1A">
        <w:rPr>
          <w:rFonts w:cstheme="minorHAnsi"/>
        </w:rPr>
        <w:t xml:space="preserve">learning, </w:t>
      </w:r>
      <w:r w:rsidR="002D6AEC" w:rsidRPr="00C61EA0">
        <w:rPr>
          <w:rFonts w:cstheme="minorHAnsi"/>
        </w:rPr>
        <w:t>teaching and assessment</w:t>
      </w:r>
      <w:r w:rsidR="006B6889" w:rsidRPr="00C61EA0">
        <w:rPr>
          <w:rFonts w:cstheme="minorHAnsi"/>
        </w:rPr>
        <w:t xml:space="preserve"> between faculties</w:t>
      </w:r>
      <w:r w:rsidR="00AB1FC8" w:rsidRPr="00C61EA0">
        <w:rPr>
          <w:rFonts w:cstheme="minorHAnsi"/>
        </w:rPr>
        <w:t xml:space="preserve">, CTL and </w:t>
      </w:r>
      <w:r w:rsidR="003B24BB">
        <w:rPr>
          <w:rFonts w:cstheme="minorHAnsi"/>
        </w:rPr>
        <w:t>the</w:t>
      </w:r>
      <w:r w:rsidR="00E35A1A">
        <w:rPr>
          <w:rFonts w:cstheme="minorHAnsi"/>
        </w:rPr>
        <w:t xml:space="preserve"> ULTAC</w:t>
      </w:r>
      <w:r w:rsidR="00341315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A45C33">
        <w:rPr>
          <w:rFonts w:cstheme="minorHAnsi"/>
        </w:rPr>
        <w:t>Currently there is a variation in how learning and teaching committees operate in each faculty</w:t>
      </w:r>
      <w:r w:rsidR="0018225A">
        <w:rPr>
          <w:rFonts w:cstheme="minorHAnsi"/>
        </w:rPr>
        <w:t xml:space="preserve">.  </w:t>
      </w:r>
      <w:r w:rsidR="00A45C33">
        <w:rPr>
          <w:rFonts w:cstheme="minorHAnsi"/>
        </w:rPr>
        <w:t>Therefore</w:t>
      </w:r>
      <w:r w:rsidR="003620B1">
        <w:rPr>
          <w:rFonts w:cstheme="minorHAnsi"/>
        </w:rPr>
        <w:t>,</w:t>
      </w:r>
      <w:r w:rsidR="00A45C33">
        <w:rPr>
          <w:rFonts w:cstheme="minorHAnsi"/>
        </w:rPr>
        <w:t xml:space="preserve"> </w:t>
      </w:r>
      <w:r w:rsidR="00C65000">
        <w:rPr>
          <w:rFonts w:cstheme="minorHAnsi"/>
        </w:rPr>
        <w:t>w</w:t>
      </w:r>
      <w:r w:rsidR="00A45C33" w:rsidRPr="00C61EA0">
        <w:rPr>
          <w:rFonts w:cstheme="minorHAnsi"/>
        </w:rPr>
        <w:t xml:space="preserve">here </w:t>
      </w:r>
      <w:r w:rsidR="006E6953">
        <w:rPr>
          <w:rFonts w:cstheme="minorHAnsi"/>
        </w:rPr>
        <w:t>School/Dept</w:t>
      </w:r>
      <w:r w:rsidR="00A45C33" w:rsidRPr="00C61EA0">
        <w:rPr>
          <w:rFonts w:cstheme="minorHAnsi"/>
        </w:rPr>
        <w:t xml:space="preserve"> level Learning</w:t>
      </w:r>
      <w:r w:rsidR="00E35A1A">
        <w:rPr>
          <w:rFonts w:cstheme="minorHAnsi"/>
        </w:rPr>
        <w:t xml:space="preserve">, </w:t>
      </w:r>
      <w:r w:rsidR="00A45C33" w:rsidRPr="00C61EA0">
        <w:rPr>
          <w:rFonts w:cstheme="minorHAnsi"/>
        </w:rPr>
        <w:t>Teaching</w:t>
      </w:r>
      <w:r w:rsidR="00E35A1A">
        <w:rPr>
          <w:rFonts w:cstheme="minorHAnsi"/>
        </w:rPr>
        <w:t xml:space="preserve"> and Assessment</w:t>
      </w:r>
      <w:r w:rsidR="00A45C33" w:rsidRPr="00C61EA0">
        <w:rPr>
          <w:rFonts w:cstheme="minorHAnsi"/>
        </w:rPr>
        <w:t xml:space="preserve"> Committees are in place, </w:t>
      </w:r>
      <w:r w:rsidR="006E6953">
        <w:rPr>
          <w:rFonts w:cstheme="minorHAnsi"/>
        </w:rPr>
        <w:t xml:space="preserve">it is recommended that </w:t>
      </w:r>
      <w:r w:rsidR="00A45C33" w:rsidRPr="00C61EA0">
        <w:rPr>
          <w:rFonts w:cstheme="minorHAnsi"/>
        </w:rPr>
        <w:t>these are dissolved</w:t>
      </w:r>
      <w:r w:rsidR="00FC0070">
        <w:rPr>
          <w:rFonts w:cstheme="minorHAnsi"/>
        </w:rPr>
        <w:t xml:space="preserve"> and</w:t>
      </w:r>
      <w:r w:rsidR="00A45C33" w:rsidRPr="00C61EA0">
        <w:rPr>
          <w:rFonts w:cstheme="minorHAnsi"/>
        </w:rPr>
        <w:t xml:space="preserve"> if deemed appropriate, the Chair of each committee nominated to participate at the </w:t>
      </w:r>
      <w:proofErr w:type="gramStart"/>
      <w:r w:rsidR="00A45C33" w:rsidRPr="00C61EA0">
        <w:rPr>
          <w:rFonts w:cstheme="minorHAnsi"/>
        </w:rPr>
        <w:t>Faculty</w:t>
      </w:r>
      <w:proofErr w:type="gramEnd"/>
      <w:r w:rsidR="00A45C33" w:rsidRPr="00C61EA0">
        <w:rPr>
          <w:rFonts w:cstheme="minorHAnsi"/>
        </w:rPr>
        <w:t xml:space="preserve"> level committee.  </w:t>
      </w:r>
    </w:p>
    <w:p w14:paraId="12281790" w14:textId="77777777" w:rsidR="00E17E85" w:rsidRDefault="00E17E85" w:rsidP="00E17E85">
      <w:pPr>
        <w:pStyle w:val="ListParagraph"/>
        <w:spacing w:before="120" w:after="120" w:line="240" w:lineRule="auto"/>
        <w:rPr>
          <w:rFonts w:cstheme="minorHAnsi"/>
          <w:b/>
          <w:bCs/>
        </w:rPr>
      </w:pPr>
    </w:p>
    <w:p w14:paraId="57E5B002" w14:textId="63A37E10" w:rsidR="003E6BB6" w:rsidRPr="00E17E85" w:rsidRDefault="00420C6C" w:rsidP="00E17E85">
      <w:pPr>
        <w:pStyle w:val="ListParagraph"/>
        <w:numPr>
          <w:ilvl w:val="0"/>
          <w:numId w:val="9"/>
        </w:numPr>
        <w:spacing w:before="120" w:after="120" w:line="240" w:lineRule="auto"/>
        <w:ind w:hanging="720"/>
        <w:rPr>
          <w:rStyle w:val="normaltextrun"/>
          <w:rFonts w:cstheme="minorHAnsi"/>
          <w:b/>
          <w:bCs/>
          <w:smallCaps/>
          <w:sz w:val="24"/>
          <w:szCs w:val="24"/>
        </w:rPr>
      </w:pPr>
      <w:r w:rsidRPr="00E17E85">
        <w:rPr>
          <w:rFonts w:cstheme="minorHAnsi"/>
          <w:b/>
          <w:bCs/>
          <w:smallCaps/>
          <w:sz w:val="24"/>
          <w:szCs w:val="24"/>
        </w:rPr>
        <w:t>Remit</w:t>
      </w:r>
    </w:p>
    <w:p w14:paraId="258C9476" w14:textId="2C0A1FDA" w:rsidR="00522189" w:rsidRPr="00034FC2" w:rsidRDefault="00522189" w:rsidP="006B6889">
      <w:pPr>
        <w:pStyle w:val="paragraph"/>
        <w:numPr>
          <w:ilvl w:val="0"/>
          <w:numId w:val="4"/>
        </w:numPr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C834A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F</w:t>
      </w:r>
      <w:r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aculty Learning</w:t>
      </w:r>
      <w:r w:rsidR="00FC007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Teaching</w:t>
      </w:r>
      <w:r w:rsidR="00FC007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Assessment</w:t>
      </w:r>
      <w:r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Committee is responsible for the implementation</w:t>
      </w:r>
      <w:r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the</w:t>
      </w:r>
      <w:r w:rsidRPr="00C61EA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034FC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University’s Learning, Teaching and Assessment strategy</w:t>
      </w:r>
      <w:r w:rsidR="00034FC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within the faculty</w:t>
      </w:r>
      <w:r w:rsidRPr="00034FC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034FC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28339C" w14:textId="2A0CC20A" w:rsidR="00522189" w:rsidRPr="00C61EA0" w:rsidRDefault="00522189" w:rsidP="006B6889">
      <w:pPr>
        <w:pStyle w:val="paragraph"/>
        <w:numPr>
          <w:ilvl w:val="0"/>
          <w:numId w:val="4"/>
        </w:numPr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1EA0">
        <w:rPr>
          <w:rStyle w:val="normaltextrun"/>
          <w:rFonts w:asciiTheme="minorHAnsi" w:hAnsiTheme="minorHAnsi" w:cstheme="minorHAnsi"/>
          <w:sz w:val="22"/>
          <w:szCs w:val="22"/>
        </w:rPr>
        <w:t xml:space="preserve">It provides a forum to facilitate the development, monitoring and review of </w:t>
      </w:r>
      <w:r w:rsidR="006B6889" w:rsidRPr="00C61EA0">
        <w:rPr>
          <w:rStyle w:val="normaltextrun"/>
          <w:rFonts w:asciiTheme="minorHAnsi" w:hAnsiTheme="minorHAnsi" w:cstheme="minorHAnsi"/>
          <w:sz w:val="22"/>
          <w:szCs w:val="22"/>
        </w:rPr>
        <w:t>teaching and le</w:t>
      </w:r>
      <w:r w:rsidR="00F31176" w:rsidRPr="00C61EA0">
        <w:rPr>
          <w:rStyle w:val="normaltextrun"/>
          <w:rFonts w:asciiTheme="minorHAnsi" w:hAnsiTheme="minorHAnsi" w:cstheme="minorHAnsi"/>
          <w:sz w:val="22"/>
          <w:szCs w:val="22"/>
        </w:rPr>
        <w:t>arning delivery model, approach and supports</w:t>
      </w:r>
      <w:r w:rsidRPr="00C61EA0">
        <w:rPr>
          <w:rStyle w:val="normaltextrun"/>
          <w:rFonts w:asciiTheme="minorHAnsi" w:hAnsiTheme="minorHAnsi" w:cstheme="minorHAnsi"/>
          <w:sz w:val="22"/>
          <w:szCs w:val="22"/>
        </w:rPr>
        <w:t xml:space="preserve"> for the faculty.</w:t>
      </w:r>
      <w:r w:rsidRPr="00C61EA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5098C0" w14:textId="146EE9C1" w:rsidR="00522189" w:rsidRPr="00010E31" w:rsidRDefault="003E6BB6" w:rsidP="006B6889">
      <w:pPr>
        <w:pStyle w:val="paragraph"/>
        <w:numPr>
          <w:ilvl w:val="0"/>
          <w:numId w:val="4"/>
        </w:numPr>
        <w:spacing w:before="12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522189"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promote quality and innovation in learning, </w:t>
      </w:r>
      <w:r w:rsidR="00E5686C"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teaching</w:t>
      </w:r>
      <w:r w:rsidR="00E5686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522189"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and assessment</w:t>
      </w:r>
      <w:r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522189"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in</w:t>
      </w:r>
      <w:r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522189" w:rsidRPr="00C61EA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  <w:t>the learning environment and through student partnership.</w:t>
      </w:r>
      <w:r w:rsidR="00522189" w:rsidRPr="00C61EA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ACC7D6" w14:textId="5595F132" w:rsidR="00010E31" w:rsidRPr="00C61EA0" w:rsidRDefault="00010E31" w:rsidP="006B6889">
      <w:pPr>
        <w:pStyle w:val="paragraph"/>
        <w:numPr>
          <w:ilvl w:val="0"/>
          <w:numId w:val="4"/>
        </w:numPr>
        <w:spacing w:before="12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To engage with external stakeholders in relation to accreditation</w:t>
      </w:r>
      <w:r w:rsidR="00E5686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requirements around learning, teaching and assessment. </w:t>
      </w:r>
    </w:p>
    <w:p w14:paraId="2B943EB7" w14:textId="5DE1743F" w:rsidR="003E6BB6" w:rsidRDefault="003E6BB6" w:rsidP="006B6889">
      <w:pPr>
        <w:pStyle w:val="paragraph"/>
        <w:numPr>
          <w:ilvl w:val="0"/>
          <w:numId w:val="4"/>
        </w:numPr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61EA0">
        <w:rPr>
          <w:rFonts w:asciiTheme="minorHAnsi" w:hAnsiTheme="minorHAnsi" w:cstheme="minorHAnsi"/>
          <w:sz w:val="22"/>
          <w:szCs w:val="22"/>
        </w:rPr>
        <w:t>To engage</w:t>
      </w:r>
      <w:r w:rsidR="006F432B" w:rsidRPr="00C61EA0">
        <w:rPr>
          <w:rFonts w:asciiTheme="minorHAnsi" w:hAnsiTheme="minorHAnsi" w:cstheme="minorHAnsi"/>
          <w:sz w:val="22"/>
          <w:szCs w:val="22"/>
        </w:rPr>
        <w:t xml:space="preserve"> and collaborate</w:t>
      </w:r>
      <w:r w:rsidRPr="00C61EA0">
        <w:rPr>
          <w:rFonts w:asciiTheme="minorHAnsi" w:hAnsiTheme="minorHAnsi" w:cstheme="minorHAnsi"/>
          <w:sz w:val="22"/>
          <w:szCs w:val="22"/>
        </w:rPr>
        <w:t xml:space="preserve"> with CTL on all areas w</w:t>
      </w:r>
      <w:r w:rsidR="00010E31">
        <w:rPr>
          <w:rFonts w:asciiTheme="minorHAnsi" w:hAnsiTheme="minorHAnsi" w:cstheme="minorHAnsi"/>
          <w:sz w:val="22"/>
          <w:szCs w:val="22"/>
        </w:rPr>
        <w:t xml:space="preserve">here </w:t>
      </w:r>
      <w:r w:rsidRPr="00C61EA0">
        <w:rPr>
          <w:rFonts w:asciiTheme="minorHAnsi" w:hAnsiTheme="minorHAnsi" w:cstheme="minorHAnsi"/>
          <w:sz w:val="22"/>
          <w:szCs w:val="22"/>
        </w:rPr>
        <w:t>support or development is identified</w:t>
      </w:r>
      <w:r w:rsidR="00010E31">
        <w:rPr>
          <w:rFonts w:asciiTheme="minorHAnsi" w:hAnsiTheme="minorHAnsi" w:cstheme="minorHAnsi"/>
          <w:sz w:val="22"/>
          <w:szCs w:val="22"/>
        </w:rPr>
        <w:t>, for both staff and students,</w:t>
      </w:r>
      <w:r w:rsidR="00941A44">
        <w:rPr>
          <w:rFonts w:asciiTheme="minorHAnsi" w:hAnsiTheme="minorHAnsi" w:cstheme="minorHAnsi"/>
          <w:sz w:val="22"/>
          <w:szCs w:val="22"/>
        </w:rPr>
        <w:t xml:space="preserve"> in terms of enhancing</w:t>
      </w:r>
      <w:r w:rsidR="003B70C8">
        <w:rPr>
          <w:rFonts w:asciiTheme="minorHAnsi" w:hAnsiTheme="minorHAnsi" w:cstheme="minorHAnsi"/>
          <w:sz w:val="22"/>
          <w:szCs w:val="22"/>
        </w:rPr>
        <w:t xml:space="preserve"> the learning experience.</w:t>
      </w:r>
    </w:p>
    <w:p w14:paraId="4908F85E" w14:textId="70882929" w:rsidR="00EB791C" w:rsidRDefault="00EB791C" w:rsidP="006B6889">
      <w:pPr>
        <w:pStyle w:val="paragraph"/>
        <w:numPr>
          <w:ilvl w:val="0"/>
          <w:numId w:val="4"/>
        </w:numPr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promote a culture of teaching and learning scholarship</w:t>
      </w:r>
      <w:r w:rsidR="00010E31">
        <w:rPr>
          <w:rFonts w:asciiTheme="minorHAnsi" w:hAnsiTheme="minorHAnsi" w:cstheme="minorHAnsi"/>
          <w:sz w:val="22"/>
          <w:szCs w:val="22"/>
        </w:rPr>
        <w:t>.</w:t>
      </w:r>
    </w:p>
    <w:p w14:paraId="11C323DE" w14:textId="77777777" w:rsidR="00E17E85" w:rsidRPr="00C61EA0" w:rsidRDefault="00E17E85" w:rsidP="00E17E85">
      <w:pPr>
        <w:pStyle w:val="paragraph"/>
        <w:spacing w:before="120" w:beforeAutospacing="0" w:after="12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E4F2B9" w14:textId="5F21AD5A" w:rsidR="003B24BB" w:rsidRPr="00E17E85" w:rsidRDefault="003B24BB" w:rsidP="00E17E85">
      <w:pPr>
        <w:pStyle w:val="ListParagraph"/>
        <w:numPr>
          <w:ilvl w:val="0"/>
          <w:numId w:val="9"/>
        </w:numPr>
        <w:spacing w:before="120" w:after="120" w:line="240" w:lineRule="auto"/>
        <w:ind w:hanging="720"/>
        <w:jc w:val="both"/>
        <w:rPr>
          <w:rFonts w:cstheme="minorHAnsi"/>
          <w:b/>
          <w:bCs/>
          <w:smallCaps/>
          <w:sz w:val="24"/>
          <w:szCs w:val="24"/>
        </w:rPr>
      </w:pPr>
      <w:r w:rsidRPr="00E17E85">
        <w:rPr>
          <w:rFonts w:cstheme="minorHAnsi"/>
          <w:b/>
          <w:bCs/>
          <w:smallCaps/>
          <w:sz w:val="24"/>
          <w:szCs w:val="24"/>
        </w:rPr>
        <w:t xml:space="preserve">Membership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86348C" w:rsidRPr="00C61EA0" w14:paraId="7AD9849D" w14:textId="77777777" w:rsidTr="0086348C">
        <w:tc>
          <w:tcPr>
            <w:tcW w:w="7933" w:type="dxa"/>
          </w:tcPr>
          <w:p w14:paraId="1B408F55" w14:textId="77777777" w:rsidR="0086348C" w:rsidRPr="00C61EA0" w:rsidRDefault="0086348C" w:rsidP="00B82F2F">
            <w:pPr>
              <w:rPr>
                <w:rFonts w:cstheme="minorHAnsi"/>
                <w:b/>
                <w:bCs/>
              </w:rPr>
            </w:pPr>
            <w:r w:rsidRPr="00C61EA0">
              <w:rPr>
                <w:rFonts w:cstheme="minorHAnsi"/>
                <w:b/>
                <w:bCs/>
              </w:rPr>
              <w:t>Role</w:t>
            </w:r>
          </w:p>
        </w:tc>
      </w:tr>
      <w:tr w:rsidR="0086348C" w:rsidRPr="00C61EA0" w14:paraId="7F844E48" w14:textId="77777777" w:rsidTr="0086348C">
        <w:tc>
          <w:tcPr>
            <w:tcW w:w="7933" w:type="dxa"/>
          </w:tcPr>
          <w:p w14:paraId="05C17E50" w14:textId="45072D4A" w:rsidR="0086348C" w:rsidRPr="00C61EA0" w:rsidRDefault="0086348C" w:rsidP="00B82F2F">
            <w:pPr>
              <w:rPr>
                <w:rFonts w:cstheme="minorHAnsi"/>
              </w:rPr>
            </w:pPr>
            <w:r>
              <w:rPr>
                <w:rFonts w:cstheme="minorHAnsi"/>
              </w:rPr>
              <w:t>Dean or nominee (Chair)</w:t>
            </w:r>
          </w:p>
        </w:tc>
      </w:tr>
      <w:tr w:rsidR="0086348C" w:rsidRPr="00C61EA0" w14:paraId="7D62434A" w14:textId="77777777" w:rsidTr="0086348C">
        <w:tc>
          <w:tcPr>
            <w:tcW w:w="7933" w:type="dxa"/>
          </w:tcPr>
          <w:p w14:paraId="11BC2442" w14:textId="77777777" w:rsidR="0086348C" w:rsidRPr="00C61EA0" w:rsidRDefault="0086348C" w:rsidP="00B82F2F">
            <w:pPr>
              <w:rPr>
                <w:rFonts w:cstheme="minorHAnsi"/>
              </w:rPr>
            </w:pPr>
            <w:r w:rsidRPr="00C61EA0">
              <w:rPr>
                <w:rFonts w:cstheme="minorHAnsi"/>
              </w:rPr>
              <w:t>Head of school or nominee (per school</w:t>
            </w:r>
            <w:r>
              <w:rPr>
                <w:rFonts w:cstheme="minorHAnsi"/>
              </w:rPr>
              <w:t>/department</w:t>
            </w:r>
            <w:r w:rsidRPr="00C61EA0">
              <w:rPr>
                <w:rFonts w:cstheme="minorHAnsi"/>
              </w:rPr>
              <w:t>)</w:t>
            </w:r>
          </w:p>
        </w:tc>
      </w:tr>
      <w:tr w:rsidR="0086348C" w:rsidRPr="00C61EA0" w14:paraId="62C79C55" w14:textId="77777777" w:rsidTr="0086348C">
        <w:tc>
          <w:tcPr>
            <w:tcW w:w="7933" w:type="dxa"/>
          </w:tcPr>
          <w:p w14:paraId="3DBC71FB" w14:textId="77777777" w:rsidR="0086348C" w:rsidRPr="00C61EA0" w:rsidRDefault="0086348C" w:rsidP="00B82F2F">
            <w:pPr>
              <w:rPr>
                <w:rFonts w:cstheme="minorHAnsi"/>
              </w:rPr>
            </w:pPr>
            <w:r w:rsidRPr="00C61EA0">
              <w:rPr>
                <w:rFonts w:cstheme="minorHAnsi"/>
              </w:rPr>
              <w:t>ADAA</w:t>
            </w:r>
          </w:p>
        </w:tc>
      </w:tr>
      <w:tr w:rsidR="0086348C" w:rsidRPr="00C61EA0" w14:paraId="0BB84218" w14:textId="77777777" w:rsidTr="0086348C">
        <w:tc>
          <w:tcPr>
            <w:tcW w:w="7933" w:type="dxa"/>
          </w:tcPr>
          <w:p w14:paraId="1EC54678" w14:textId="77777777" w:rsidR="0086348C" w:rsidRPr="00C61EA0" w:rsidRDefault="0086348C" w:rsidP="00B82F2F">
            <w:pPr>
              <w:rPr>
                <w:rFonts w:cstheme="minorHAnsi"/>
              </w:rPr>
            </w:pPr>
            <w:r w:rsidRPr="00C61EA0">
              <w:rPr>
                <w:rFonts w:cstheme="minorHAnsi"/>
              </w:rPr>
              <w:t>Faculty Learning Technologist</w:t>
            </w:r>
          </w:p>
        </w:tc>
      </w:tr>
      <w:tr w:rsidR="0086348C" w:rsidRPr="00C61EA0" w14:paraId="6223A220" w14:textId="77777777" w:rsidTr="0086348C">
        <w:tc>
          <w:tcPr>
            <w:tcW w:w="7933" w:type="dxa"/>
          </w:tcPr>
          <w:p w14:paraId="36CC3C9B" w14:textId="62FA1CF1" w:rsidR="0086348C" w:rsidRPr="00C61EA0" w:rsidRDefault="0086348C" w:rsidP="009B4B4E">
            <w:pPr>
              <w:rPr>
                <w:rFonts w:cstheme="minorHAnsi"/>
              </w:rPr>
            </w:pPr>
            <w:r w:rsidRPr="00C61EA0">
              <w:rPr>
                <w:rFonts w:cstheme="minorHAnsi"/>
              </w:rPr>
              <w:t>Head CTL or nominee</w:t>
            </w:r>
          </w:p>
        </w:tc>
      </w:tr>
      <w:tr w:rsidR="0086348C" w:rsidRPr="00C61EA0" w14:paraId="50E03545" w14:textId="77777777" w:rsidTr="0086348C">
        <w:tc>
          <w:tcPr>
            <w:tcW w:w="7933" w:type="dxa"/>
          </w:tcPr>
          <w:p w14:paraId="0C0F90A0" w14:textId="3035469B" w:rsidR="0086348C" w:rsidRPr="00C61EA0" w:rsidRDefault="0086348C" w:rsidP="009B4B4E">
            <w:pPr>
              <w:rPr>
                <w:rFonts w:cstheme="minorHAnsi"/>
              </w:rPr>
            </w:pPr>
            <w:r w:rsidRPr="001259CB">
              <w:rPr>
                <w:rFonts w:cstheme="minorHAnsi"/>
              </w:rPr>
              <w:t>Faculty Librarian</w:t>
            </w:r>
          </w:p>
        </w:tc>
      </w:tr>
      <w:tr w:rsidR="0086348C" w:rsidRPr="00C61EA0" w14:paraId="0028067E" w14:textId="77777777" w:rsidTr="0086348C">
        <w:tc>
          <w:tcPr>
            <w:tcW w:w="7933" w:type="dxa"/>
          </w:tcPr>
          <w:p w14:paraId="29918196" w14:textId="7F79FA09" w:rsidR="0086348C" w:rsidRPr="002C4A57" w:rsidRDefault="0086348C" w:rsidP="009B4B4E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ITD Business Partne</w:t>
            </w:r>
            <w:r w:rsidR="00EA50B7">
              <w:rPr>
                <w:rFonts w:cstheme="minorHAnsi"/>
              </w:rPr>
              <w:t>r</w:t>
            </w:r>
            <w:r w:rsidR="00994E22">
              <w:rPr>
                <w:rFonts w:cstheme="minorHAnsi"/>
              </w:rPr>
              <w:t xml:space="preserve"> </w:t>
            </w:r>
          </w:p>
        </w:tc>
      </w:tr>
      <w:tr w:rsidR="0086348C" w:rsidRPr="00C61EA0" w14:paraId="06AC33C0" w14:textId="77777777" w:rsidTr="0086348C">
        <w:tc>
          <w:tcPr>
            <w:tcW w:w="7933" w:type="dxa"/>
          </w:tcPr>
          <w:p w14:paraId="44686F5C" w14:textId="2BA88E1E" w:rsidR="0086348C" w:rsidRPr="00C61EA0" w:rsidRDefault="0086348C" w:rsidP="009B4B4E">
            <w:pPr>
              <w:rPr>
                <w:rFonts w:cstheme="minorHAnsi"/>
              </w:rPr>
            </w:pPr>
            <w:r w:rsidRPr="002C4A57">
              <w:rPr>
                <w:rFonts w:cstheme="minorHAnsi"/>
              </w:rPr>
              <w:lastRenderedPageBreak/>
              <w:t>Student Life</w:t>
            </w:r>
            <w:r>
              <w:rPr>
                <w:rFonts w:cstheme="minorHAnsi"/>
              </w:rPr>
              <w:t xml:space="preserve"> Academic</w:t>
            </w:r>
            <w:r w:rsidRPr="002C4A57">
              <w:rPr>
                <w:rFonts w:cstheme="minorHAnsi"/>
              </w:rPr>
              <w:t xml:space="preserve"> (sabbatical officer)</w:t>
            </w:r>
          </w:p>
        </w:tc>
      </w:tr>
      <w:tr w:rsidR="0086348C" w:rsidRPr="00C61EA0" w14:paraId="774E023D" w14:textId="77777777" w:rsidTr="0086348C">
        <w:tc>
          <w:tcPr>
            <w:tcW w:w="7933" w:type="dxa"/>
          </w:tcPr>
          <w:p w14:paraId="290AEC7B" w14:textId="3B909300" w:rsidR="0086348C" w:rsidRDefault="0086348C" w:rsidP="009B4B4E">
            <w:pPr>
              <w:rPr>
                <w:rFonts w:cstheme="minorHAnsi"/>
              </w:rPr>
            </w:pPr>
            <w:r w:rsidRPr="002C4A57">
              <w:rPr>
                <w:rFonts w:cstheme="minorHAnsi"/>
              </w:rPr>
              <w:t>PSU President or nominee (sabbatical officer)</w:t>
            </w:r>
          </w:p>
        </w:tc>
      </w:tr>
      <w:tr w:rsidR="0086348C" w:rsidRPr="00C61EA0" w14:paraId="1B394FA7" w14:textId="77777777" w:rsidTr="0086348C">
        <w:tc>
          <w:tcPr>
            <w:tcW w:w="7933" w:type="dxa"/>
          </w:tcPr>
          <w:p w14:paraId="16E59897" w14:textId="2125097B" w:rsidR="0086348C" w:rsidRDefault="00EA50B7" w:rsidP="008C11A7">
            <w:pPr>
              <w:rPr>
                <w:rFonts w:cstheme="minorHAnsi"/>
              </w:rPr>
            </w:pPr>
            <w:r w:rsidRPr="00E66985">
              <w:rPr>
                <w:rFonts w:cstheme="minorHAnsi"/>
              </w:rPr>
              <w:t xml:space="preserve">Course Director </w:t>
            </w:r>
            <w:r w:rsidR="00D85249" w:rsidRPr="00E66985">
              <w:rPr>
                <w:rFonts w:cstheme="minorHAnsi"/>
              </w:rPr>
              <w:t>representative from UG and PG programmes</w:t>
            </w:r>
          </w:p>
        </w:tc>
      </w:tr>
      <w:tr w:rsidR="00EA50B7" w:rsidRPr="00C61EA0" w14:paraId="74FEF56F" w14:textId="77777777" w:rsidTr="0086348C">
        <w:tc>
          <w:tcPr>
            <w:tcW w:w="7933" w:type="dxa"/>
          </w:tcPr>
          <w:p w14:paraId="33A250B5" w14:textId="6FC1C4F8" w:rsidR="00EA50B7" w:rsidRDefault="00EA50B7" w:rsidP="008C11A7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members to be co-opted by committee, as appropriate</w:t>
            </w:r>
          </w:p>
        </w:tc>
      </w:tr>
    </w:tbl>
    <w:p w14:paraId="174A0E51" w14:textId="77777777" w:rsidR="003B24BB" w:rsidRPr="00C61EA0" w:rsidRDefault="003B24BB" w:rsidP="003B24BB">
      <w:pPr>
        <w:spacing w:before="120" w:after="120" w:line="240" w:lineRule="auto"/>
        <w:rPr>
          <w:rFonts w:cstheme="minorHAnsi"/>
        </w:rPr>
      </w:pPr>
    </w:p>
    <w:p w14:paraId="2A23E7D7" w14:textId="4934AF5D" w:rsidR="00E41DA6" w:rsidRPr="00B253A2" w:rsidRDefault="00E41DA6" w:rsidP="00B253A2">
      <w:pPr>
        <w:pStyle w:val="paragraph"/>
        <w:numPr>
          <w:ilvl w:val="0"/>
          <w:numId w:val="9"/>
        </w:numPr>
        <w:spacing w:before="0" w:beforeAutospacing="0" w:after="0" w:afterAutospacing="0"/>
        <w:ind w:hanging="720"/>
        <w:textAlignment w:val="baseline"/>
        <w:rPr>
          <w:rFonts w:ascii="Calibri" w:hAnsi="Calibri" w:cs="Calibri"/>
          <w:b/>
          <w:bCs/>
          <w:smallCaps/>
        </w:rPr>
      </w:pPr>
      <w:r w:rsidRPr="00E17E85">
        <w:rPr>
          <w:rStyle w:val="normaltextrun"/>
          <w:rFonts w:ascii="Calibri" w:hAnsi="Calibri" w:cs="Calibri"/>
          <w:b/>
          <w:bCs/>
          <w:smallCaps/>
        </w:rPr>
        <w:t>Responsibilities and Expectations of Committee Members</w:t>
      </w:r>
    </w:p>
    <w:p w14:paraId="3E81F920" w14:textId="30F96142" w:rsidR="00E41DA6" w:rsidRDefault="00E41DA6" w:rsidP="00E41D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 members of the Committee</w:t>
      </w:r>
      <w:r w:rsidR="00B253A2">
        <w:rPr>
          <w:rStyle w:val="normaltextrun"/>
          <w:rFonts w:ascii="Calibri" w:hAnsi="Calibri" w:cs="Calibri"/>
          <w:sz w:val="22"/>
          <w:szCs w:val="22"/>
        </w:rPr>
        <w:t xml:space="preserve"> are expected to:</w:t>
      </w:r>
    </w:p>
    <w:p w14:paraId="5C29B875" w14:textId="75AC2F25" w:rsidR="00E41DA6" w:rsidRDefault="00B253A2" w:rsidP="00E41DA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E41DA6">
        <w:rPr>
          <w:rStyle w:val="normaltextrun"/>
          <w:rFonts w:ascii="Calibri" w:hAnsi="Calibri" w:cs="Calibri"/>
          <w:sz w:val="22"/>
          <w:szCs w:val="22"/>
        </w:rPr>
        <w:t xml:space="preserve">ttend regularly and participate fully in the work of the Committee and Working Groups. This will involve looking ahead and consulting/gathering input </w:t>
      </w:r>
      <w:r w:rsidR="00A2293A">
        <w:rPr>
          <w:rStyle w:val="normaltextrun"/>
          <w:rFonts w:ascii="Calibri" w:hAnsi="Calibri" w:cs="Calibri"/>
          <w:sz w:val="22"/>
          <w:szCs w:val="22"/>
        </w:rPr>
        <w:t>to</w:t>
      </w:r>
      <w:r w:rsidR="00E41DA6">
        <w:rPr>
          <w:rStyle w:val="normaltextrun"/>
          <w:rFonts w:ascii="Calibri" w:hAnsi="Calibri" w:cs="Calibri"/>
          <w:sz w:val="22"/>
          <w:szCs w:val="22"/>
        </w:rPr>
        <w:t xml:space="preserve"> provide the broad spectrum of thoughts and opinions which are necessary for proper consideration of the area being discussed. </w:t>
      </w:r>
      <w:r w:rsidR="00E41DA6">
        <w:rPr>
          <w:rStyle w:val="eop"/>
          <w:rFonts w:ascii="Calibri" w:hAnsi="Calibri" w:cs="Calibri"/>
          <w:sz w:val="22"/>
          <w:szCs w:val="22"/>
        </w:rPr>
        <w:t> </w:t>
      </w:r>
    </w:p>
    <w:p w14:paraId="6A6E4672" w14:textId="48F3534A" w:rsidR="00E41DA6" w:rsidRDefault="00B253A2" w:rsidP="00E41DA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Commit </w:t>
      </w:r>
      <w:r w:rsidR="00E41DA6">
        <w:rPr>
          <w:rStyle w:val="normaltextrun"/>
          <w:rFonts w:ascii="Calibri" w:hAnsi="Calibri" w:cs="Calibri"/>
          <w:sz w:val="22"/>
          <w:szCs w:val="22"/>
        </w:rPr>
        <w:t>to communicating the work of the Committee to the faculty community. </w:t>
      </w:r>
      <w:r w:rsidR="00E41DA6">
        <w:rPr>
          <w:rStyle w:val="eop"/>
          <w:rFonts w:ascii="Calibri" w:hAnsi="Calibri" w:cs="Calibri"/>
          <w:sz w:val="22"/>
          <w:szCs w:val="22"/>
        </w:rPr>
        <w:t> </w:t>
      </w:r>
    </w:p>
    <w:p w14:paraId="4FC223D1" w14:textId="239184D1" w:rsidR="003B24BB" w:rsidRDefault="003B24BB" w:rsidP="006B6889">
      <w:pPr>
        <w:spacing w:before="120" w:after="120" w:line="240" w:lineRule="auto"/>
        <w:rPr>
          <w:rFonts w:cstheme="minorHAnsi"/>
          <w:lang w:val="en-IE"/>
        </w:rPr>
      </w:pPr>
    </w:p>
    <w:p w14:paraId="5BEBBCE8" w14:textId="3ABA1465" w:rsidR="00BE78EF" w:rsidRPr="00C834AB" w:rsidRDefault="00C834AB" w:rsidP="006B6889">
      <w:pPr>
        <w:spacing w:before="120" w:after="120" w:line="240" w:lineRule="auto"/>
        <w:rPr>
          <w:rFonts w:cstheme="minorHAnsi"/>
          <w:b/>
          <w:bCs/>
          <w:smallCaps/>
          <w:sz w:val="24"/>
          <w:szCs w:val="24"/>
          <w:lang w:val="en-IE"/>
        </w:rPr>
      </w:pPr>
      <w:r w:rsidRPr="00C834AB">
        <w:rPr>
          <w:rFonts w:cstheme="minorHAnsi"/>
          <w:b/>
          <w:bCs/>
          <w:smallCaps/>
          <w:sz w:val="24"/>
          <w:szCs w:val="24"/>
          <w:lang w:val="en-IE"/>
        </w:rPr>
        <w:t>5.</w:t>
      </w:r>
      <w:r w:rsidRPr="00C834AB">
        <w:rPr>
          <w:rFonts w:cstheme="minorHAnsi"/>
          <w:b/>
          <w:bCs/>
          <w:smallCaps/>
          <w:sz w:val="24"/>
          <w:szCs w:val="24"/>
          <w:lang w:val="en-IE"/>
        </w:rPr>
        <w:tab/>
      </w:r>
      <w:r w:rsidR="00184CA6">
        <w:rPr>
          <w:rFonts w:cstheme="minorHAnsi"/>
          <w:b/>
          <w:bCs/>
          <w:smallCaps/>
          <w:sz w:val="24"/>
          <w:szCs w:val="24"/>
          <w:lang w:val="en-IE"/>
        </w:rPr>
        <w:t>Frequency of meetings</w:t>
      </w:r>
    </w:p>
    <w:p w14:paraId="7A611A5F" w14:textId="41AE77C7" w:rsidR="00C834AB" w:rsidRDefault="00C834AB" w:rsidP="00C834AB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will meet a minimum of </w:t>
      </w:r>
      <w:r w:rsidR="00A2293A" w:rsidRPr="00E6698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times per year. </w:t>
      </w:r>
    </w:p>
    <w:p w14:paraId="4385AD96" w14:textId="77777777" w:rsidR="00C834AB" w:rsidRDefault="00C834AB" w:rsidP="006B6889">
      <w:pPr>
        <w:spacing w:before="120" w:after="120" w:line="240" w:lineRule="auto"/>
        <w:rPr>
          <w:rFonts w:cstheme="minorHAnsi"/>
          <w:lang w:val="en-IE"/>
        </w:rPr>
      </w:pPr>
    </w:p>
    <w:sectPr w:rsidR="00C8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A3A"/>
    <w:multiLevelType w:val="hybridMultilevel"/>
    <w:tmpl w:val="50DA1C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E0DE2"/>
    <w:multiLevelType w:val="hybridMultilevel"/>
    <w:tmpl w:val="96B4E6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957AD"/>
    <w:multiLevelType w:val="multilevel"/>
    <w:tmpl w:val="93268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4548D"/>
    <w:multiLevelType w:val="multilevel"/>
    <w:tmpl w:val="B5C0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85FD4"/>
    <w:multiLevelType w:val="hybridMultilevel"/>
    <w:tmpl w:val="439E72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77316"/>
    <w:multiLevelType w:val="multilevel"/>
    <w:tmpl w:val="D8EED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15A5F"/>
    <w:multiLevelType w:val="hybridMultilevel"/>
    <w:tmpl w:val="7ED8AC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61273"/>
    <w:multiLevelType w:val="multilevel"/>
    <w:tmpl w:val="0DCEE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53896"/>
    <w:multiLevelType w:val="hybridMultilevel"/>
    <w:tmpl w:val="84EAA7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80491">
    <w:abstractNumId w:val="3"/>
  </w:num>
  <w:num w:numId="2" w16cid:durableId="1921521659">
    <w:abstractNumId w:val="2"/>
  </w:num>
  <w:num w:numId="3" w16cid:durableId="590087993">
    <w:abstractNumId w:val="5"/>
  </w:num>
  <w:num w:numId="4" w16cid:durableId="910308990">
    <w:abstractNumId w:val="0"/>
  </w:num>
  <w:num w:numId="5" w16cid:durableId="1383364502">
    <w:abstractNumId w:val="1"/>
  </w:num>
  <w:num w:numId="6" w16cid:durableId="1442450823">
    <w:abstractNumId w:val="4"/>
  </w:num>
  <w:num w:numId="7" w16cid:durableId="408039443">
    <w:abstractNumId w:val="7"/>
  </w:num>
  <w:num w:numId="8" w16cid:durableId="1051880300">
    <w:abstractNumId w:val="6"/>
  </w:num>
  <w:num w:numId="9" w16cid:durableId="1910769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25"/>
    <w:rsid w:val="00010E31"/>
    <w:rsid w:val="00034FC2"/>
    <w:rsid w:val="00064F25"/>
    <w:rsid w:val="000F0C90"/>
    <w:rsid w:val="001259CB"/>
    <w:rsid w:val="0013471E"/>
    <w:rsid w:val="0018225A"/>
    <w:rsid w:val="00183799"/>
    <w:rsid w:val="00184CA6"/>
    <w:rsid w:val="001C3703"/>
    <w:rsid w:val="001D733E"/>
    <w:rsid w:val="00293332"/>
    <w:rsid w:val="002D6AEC"/>
    <w:rsid w:val="00341315"/>
    <w:rsid w:val="003620B1"/>
    <w:rsid w:val="00371D1D"/>
    <w:rsid w:val="003B24BB"/>
    <w:rsid w:val="003B70C8"/>
    <w:rsid w:val="003C5DBF"/>
    <w:rsid w:val="003E6BB6"/>
    <w:rsid w:val="003F5375"/>
    <w:rsid w:val="00420C6C"/>
    <w:rsid w:val="00453514"/>
    <w:rsid w:val="00512798"/>
    <w:rsid w:val="00514385"/>
    <w:rsid w:val="00522189"/>
    <w:rsid w:val="005572AA"/>
    <w:rsid w:val="005B3BF9"/>
    <w:rsid w:val="005D2836"/>
    <w:rsid w:val="006763A8"/>
    <w:rsid w:val="006A1B6B"/>
    <w:rsid w:val="006B6889"/>
    <w:rsid w:val="006E6953"/>
    <w:rsid w:val="006F246F"/>
    <w:rsid w:val="006F432B"/>
    <w:rsid w:val="007032AF"/>
    <w:rsid w:val="0079156D"/>
    <w:rsid w:val="007A1C7E"/>
    <w:rsid w:val="007C1EF2"/>
    <w:rsid w:val="0080022B"/>
    <w:rsid w:val="008201A2"/>
    <w:rsid w:val="0086348C"/>
    <w:rsid w:val="008C11A7"/>
    <w:rsid w:val="008D14BA"/>
    <w:rsid w:val="008F7A6B"/>
    <w:rsid w:val="0093794B"/>
    <w:rsid w:val="00941A44"/>
    <w:rsid w:val="00994E22"/>
    <w:rsid w:val="009B4B4E"/>
    <w:rsid w:val="00A2293A"/>
    <w:rsid w:val="00A45C33"/>
    <w:rsid w:val="00A53829"/>
    <w:rsid w:val="00A703F6"/>
    <w:rsid w:val="00A77C6C"/>
    <w:rsid w:val="00AB1FC8"/>
    <w:rsid w:val="00AE0BEA"/>
    <w:rsid w:val="00B253A2"/>
    <w:rsid w:val="00BE78EF"/>
    <w:rsid w:val="00C0324A"/>
    <w:rsid w:val="00C17967"/>
    <w:rsid w:val="00C27BFD"/>
    <w:rsid w:val="00C36D50"/>
    <w:rsid w:val="00C377AD"/>
    <w:rsid w:val="00C54850"/>
    <w:rsid w:val="00C61EA0"/>
    <w:rsid w:val="00C65000"/>
    <w:rsid w:val="00C834AB"/>
    <w:rsid w:val="00C838BA"/>
    <w:rsid w:val="00D52F00"/>
    <w:rsid w:val="00D85249"/>
    <w:rsid w:val="00DD5F42"/>
    <w:rsid w:val="00E17E85"/>
    <w:rsid w:val="00E35A1A"/>
    <w:rsid w:val="00E41DA6"/>
    <w:rsid w:val="00E5686C"/>
    <w:rsid w:val="00E66985"/>
    <w:rsid w:val="00E71D9A"/>
    <w:rsid w:val="00EA50B7"/>
    <w:rsid w:val="00EB791C"/>
    <w:rsid w:val="00F31176"/>
    <w:rsid w:val="00FC0070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3CD3"/>
  <w15:chartTrackingRefBased/>
  <w15:docId w15:val="{4B5887C1-EF8F-4744-80A6-3717B04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hqudtyelxqknvzkxcjct">
    <w:name w:val="vhqudtyelxqknvzkxcjct"/>
    <w:basedOn w:val="DefaultParagraphFont"/>
    <w:rsid w:val="008201A2"/>
  </w:style>
  <w:style w:type="table" w:styleId="TableGrid">
    <w:name w:val="Table Grid"/>
    <w:basedOn w:val="TableNormal"/>
    <w:uiPriority w:val="39"/>
    <w:rsid w:val="003F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normaltextrun">
    <w:name w:val="normaltextrun"/>
    <w:basedOn w:val="DefaultParagraphFont"/>
    <w:rsid w:val="00522189"/>
  </w:style>
  <w:style w:type="character" w:customStyle="1" w:styleId="eop">
    <w:name w:val="eop"/>
    <w:basedOn w:val="DefaultParagraphFont"/>
    <w:rsid w:val="00522189"/>
  </w:style>
  <w:style w:type="paragraph" w:styleId="ListParagraph">
    <w:name w:val="List Paragraph"/>
    <w:basedOn w:val="Normal"/>
    <w:uiPriority w:val="34"/>
    <w:qFormat/>
    <w:rsid w:val="00371D1D"/>
    <w:pPr>
      <w:ind w:left="720"/>
      <w:contextualSpacing/>
    </w:pPr>
  </w:style>
  <w:style w:type="character" w:customStyle="1" w:styleId="tabchar">
    <w:name w:val="tabchar"/>
    <w:basedOn w:val="DefaultParagraphFont"/>
    <w:rsid w:val="00E41DA6"/>
  </w:style>
  <w:style w:type="character" w:styleId="CommentReference">
    <w:name w:val="annotation reference"/>
    <w:basedOn w:val="DefaultParagraphFont"/>
    <w:uiPriority w:val="99"/>
    <w:semiHidden/>
    <w:unhideWhenUsed/>
    <w:rsid w:val="00134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B44C-E412-44A3-9E51-3202541A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Mary.Fitzpatrick</dc:creator>
  <cp:keywords/>
  <dc:description/>
  <cp:lastModifiedBy>Denise.Wallace</cp:lastModifiedBy>
  <cp:revision>3</cp:revision>
  <dcterms:created xsi:type="dcterms:W3CDTF">2021-12-03T09:32:00Z</dcterms:created>
  <dcterms:modified xsi:type="dcterms:W3CDTF">2022-05-25T15:35:00Z</dcterms:modified>
</cp:coreProperties>
</file>