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3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0F7410" w:rsidRPr="000F7410" w14:paraId="218B8189" w14:textId="77777777" w:rsidTr="000F741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562FAAFD" w14:textId="77777777" w:rsidR="000F7410" w:rsidRDefault="00C551C5" w:rsidP="008A4620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</w:pPr>
            <w:bookmarkStart w:id="0" w:name="_GoBack"/>
            <w:bookmarkEnd w:id="0"/>
            <w:r w:rsidRPr="000F7410"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  <w:t>Kemmy Business School Policy on the use of the University of Limerick Discretionary Bands</w:t>
            </w:r>
            <w:r w:rsidR="000F7410"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  <w:t xml:space="preserve"> </w:t>
            </w:r>
          </w:p>
          <w:p w14:paraId="218B8163" w14:textId="06F5D76B" w:rsidR="00C551C5" w:rsidRPr="000F7410" w:rsidRDefault="000F7410" w:rsidP="008A4620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  <w:t>(agreed as of 14/10/2020)</w:t>
            </w:r>
          </w:p>
          <w:p w14:paraId="218B8164" w14:textId="77777777" w:rsidR="00C551C5" w:rsidRPr="000F7410" w:rsidRDefault="00C551C5" w:rsidP="00C551C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</w:pP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University regulations stipulate the final degree category with which you will graduate.  The categories are determined by your overall final (cumulative) QCA as described below:</w:t>
            </w:r>
          </w:p>
          <w:tbl>
            <w:tblPr>
              <w:tblW w:w="6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8"/>
              <w:gridCol w:w="2392"/>
            </w:tblGrid>
            <w:tr w:rsidR="000F7410" w:rsidRPr="000F7410" w14:paraId="218B8167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5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  <w:t>Award Classification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6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  <w:t>Cumulative QCA </w:t>
                  </w:r>
                  <w:r w:rsidRPr="000F7410"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  <w:br/>
                    <w:t>(at or above)</w:t>
                  </w:r>
                </w:p>
              </w:tc>
            </w:tr>
            <w:tr w:rsidR="000F7410" w:rsidRPr="000F7410" w14:paraId="218B816A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8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First class honours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9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3.40</w:t>
                  </w:r>
                </w:p>
              </w:tc>
            </w:tr>
            <w:tr w:rsidR="000F7410" w:rsidRPr="000F7410" w14:paraId="218B816D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B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Second class, grade 1 (2.1)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C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3.00</w:t>
                  </w:r>
                </w:p>
              </w:tc>
            </w:tr>
            <w:tr w:rsidR="000F7410" w:rsidRPr="000F7410" w14:paraId="218B8170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E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Second class, grade 2 (2.2)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6F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2.60</w:t>
                  </w:r>
                </w:p>
              </w:tc>
            </w:tr>
            <w:tr w:rsidR="000F7410" w:rsidRPr="000F7410" w14:paraId="218B8173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1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Third class honours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2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2.00</w:t>
                  </w:r>
                </w:p>
              </w:tc>
            </w:tr>
          </w:tbl>
          <w:p w14:paraId="218B8174" w14:textId="47E276D7" w:rsidR="00C551C5" w:rsidRPr="000F7410" w:rsidRDefault="00C551C5" w:rsidP="00C551C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</w:pP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br/>
            </w:r>
            <w:r w:rsidRPr="000F7410"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  <w:t>Discretionary bands: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br/>
              <w:t>The University's academic regulations however (</w:t>
            </w:r>
            <w:hyperlink r:id="rId7" w:history="1">
              <w:r w:rsidRPr="000F7410">
                <w:rPr>
                  <w:rStyle w:val="Hyperlink"/>
                  <w:rFonts w:eastAsia="Times New Roman" w:cs="Arial"/>
                  <w:bCs/>
                  <w:color w:val="000000" w:themeColor="text1"/>
                  <w:kern w:val="36"/>
                  <w:lang w:eastAsia="en-GB"/>
                </w:rPr>
                <w:t>Handbook of Academic Regulations and Procedures, MS 2.6</w:t>
              </w:r>
            </w:hyperlink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), allow candidates whose final cumulative QCA value is within 0.10 of a higher classification to be considered for that degree classification (e.g. a candidate whose final QCA falls between 3.30 and 3.39 inclusive, can be considered for a first class honours degree).</w:t>
            </w:r>
            <w:r w:rsidR="000F7410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Please note that there is no discretion in terms of a third class honours - you must meet the minimum requirements of 2.00.</w:t>
            </w:r>
            <w:r w:rsidR="000F7410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Therefore, the degree classification bands can be more fully described as per the table below:</w:t>
            </w:r>
          </w:p>
          <w:tbl>
            <w:tblPr>
              <w:tblW w:w="9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5413"/>
            </w:tblGrid>
            <w:tr w:rsidR="000F7410" w:rsidRPr="000F7410" w14:paraId="218B8177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5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  <w:t>Award Classification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6" w14:textId="77777777" w:rsidR="00C551C5" w:rsidRPr="000F7410" w:rsidRDefault="00C551C5" w:rsidP="008A4620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b/>
                      <w:bCs/>
                      <w:color w:val="000000" w:themeColor="text1"/>
                      <w:lang w:eastAsia="en-GB"/>
                    </w:rPr>
                    <w:t>Cumulative QCA  </w:t>
                  </w:r>
                </w:p>
              </w:tc>
            </w:tr>
            <w:tr w:rsidR="000F7410" w:rsidRPr="000F7410" w14:paraId="218B817A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8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First class honours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9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3.40   (Discretionary between 3.30-3.39)</w:t>
                  </w:r>
                </w:p>
              </w:tc>
            </w:tr>
            <w:tr w:rsidR="000F7410" w:rsidRPr="000F7410" w14:paraId="218B817D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B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Second class, grade 1 (2.1)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C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3.00   (Discretionary between 2.90-2.99)</w:t>
                  </w:r>
                </w:p>
              </w:tc>
            </w:tr>
            <w:tr w:rsidR="000F7410" w:rsidRPr="000F7410" w14:paraId="218B8180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E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Second class, grade 2 (2.2)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7F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2.60   (Discretionary between 2.50-2.59)</w:t>
                  </w:r>
                </w:p>
              </w:tc>
            </w:tr>
            <w:tr w:rsidR="000F7410" w:rsidRPr="000F7410" w14:paraId="218B8183" w14:textId="77777777" w:rsidTr="008A462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81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Third class honours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8182" w14:textId="77777777" w:rsidR="00C551C5" w:rsidRPr="000F7410" w:rsidRDefault="00C551C5" w:rsidP="008A4620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eastAsia="en-GB"/>
                    </w:rPr>
                  </w:pPr>
                  <w:r w:rsidRPr="000F7410">
                    <w:rPr>
                      <w:rFonts w:eastAsia="Times New Roman" w:cs="Arial"/>
                      <w:color w:val="000000" w:themeColor="text1"/>
                      <w:lang w:eastAsia="en-GB"/>
                    </w:rPr>
                    <w:t>2.00   (No discretion)</w:t>
                  </w:r>
                </w:p>
              </w:tc>
            </w:tr>
          </w:tbl>
          <w:p w14:paraId="218B8184" w14:textId="77777777" w:rsidR="00C551C5" w:rsidRPr="000F7410" w:rsidRDefault="00C551C5" w:rsidP="00C551C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</w:pPr>
          </w:p>
          <w:p w14:paraId="218B8185" w14:textId="77777777" w:rsidR="00C551C5" w:rsidRPr="000F7410" w:rsidRDefault="00C551C5" w:rsidP="00C551C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</w:pPr>
            <w:r w:rsidRPr="000F7410">
              <w:rPr>
                <w:rFonts w:eastAsia="Times New Roman" w:cs="Arial"/>
                <w:b/>
                <w:bCs/>
                <w:color w:val="000000" w:themeColor="text1"/>
                <w:kern w:val="36"/>
                <w:lang w:eastAsia="en-GB"/>
              </w:rPr>
              <w:t>Criteria used for considering students in the discretion band for both KBS undergraduate and postgraduate awards</w:t>
            </w:r>
          </w:p>
          <w:p w14:paraId="218B8186" w14:textId="6E752783" w:rsidR="00C551C5" w:rsidRPr="000F7410" w:rsidRDefault="00C551C5" w:rsidP="00C551C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</w:pP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All students in 3rd class/2.2 discretion bands receive the higher award (</w:t>
            </w:r>
            <w:r w:rsidR="000F7410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i.e.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a 2.2 is awarded at 2.5)</w:t>
            </w:r>
          </w:p>
          <w:p w14:paraId="218B8187" w14:textId="757DC4AB" w:rsidR="00C551C5" w:rsidRPr="000F7410" w:rsidRDefault="0099189B" w:rsidP="00C551C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</w:pP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S</w:t>
            </w:r>
            <w:r w:rsidR="00C551C5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tudents in the 2.2/2.1 discretion band 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with a final QCA between 2.95 and 2.99 </w:t>
            </w:r>
            <w:r w:rsidR="00C551C5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receive the higher award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.  Students in the 2.2/2.1 discretion band with a final QCA between 2.90 and 2.94 receive the higher award</w:t>
            </w:r>
            <w:r w:rsidR="00C551C5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</w:t>
            </w:r>
            <w:r w:rsidR="008639F1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if either their major option QCA or their final year QCA is at or above 2.95. In the case of postgraduate/Masters awards the dissertation component </w:t>
            </w:r>
            <w:r w:rsidR="000F7410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or its equivalent </w:t>
            </w:r>
            <w:r w:rsidR="008639F1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will be at or above 2.95. </w:t>
            </w:r>
          </w:p>
          <w:p w14:paraId="218B8188" w14:textId="14A02E84" w:rsidR="00C551C5" w:rsidRPr="000F7410" w:rsidRDefault="0099189B" w:rsidP="0099189B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sz w:val="19"/>
                <w:lang w:eastAsia="en-GB"/>
              </w:rPr>
            </w:pP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S</w:t>
            </w:r>
            <w:r w:rsidR="00C551C5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tudents in the 2.1/1st discretio</w:t>
            </w:r>
            <w:r w:rsidR="008639F1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n band 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with a final QCA between 3.35 and 3.39 </w:t>
            </w:r>
            <w:r w:rsidR="008639F1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receive the higher award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>.  Students in the 2.1/1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vertAlign w:val="superscript"/>
                <w:lang w:eastAsia="en-GB"/>
              </w:rPr>
              <w:t>st</w:t>
            </w:r>
            <w:r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discretion band with a final QCA between 3.30 and 3.34 receive the higher award</w:t>
            </w:r>
            <w:r w:rsidR="008639F1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 if either their major option QCA or their final year QCA is at or above 3.35. In the case of postgraduate/Masters awards the dissertation component </w:t>
            </w:r>
            <w:r w:rsidR="000F7410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or its equivalent </w:t>
            </w:r>
            <w:r w:rsidR="008639F1" w:rsidRPr="000F7410">
              <w:rPr>
                <w:rFonts w:eastAsia="Times New Roman" w:cs="Arial"/>
                <w:bCs/>
                <w:color w:val="000000" w:themeColor="text1"/>
                <w:kern w:val="36"/>
                <w:lang w:eastAsia="en-GB"/>
              </w:rPr>
              <w:t xml:space="preserve">will be at or above 3.35. </w:t>
            </w:r>
          </w:p>
        </w:tc>
      </w:tr>
    </w:tbl>
    <w:p w14:paraId="218B818A" w14:textId="77777777" w:rsidR="00933761" w:rsidRPr="000F7410" w:rsidRDefault="00933761" w:rsidP="00E73DBE">
      <w:pPr>
        <w:rPr>
          <w:color w:val="000000" w:themeColor="text1"/>
        </w:rPr>
      </w:pPr>
    </w:p>
    <w:sectPr w:rsidR="00933761" w:rsidRPr="000F7410" w:rsidSect="00FE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11"/>
    <w:rsid w:val="0001396A"/>
    <w:rsid w:val="000211C4"/>
    <w:rsid w:val="000E47E8"/>
    <w:rsid w:val="000F7410"/>
    <w:rsid w:val="00110630"/>
    <w:rsid w:val="00121A44"/>
    <w:rsid w:val="00172AB5"/>
    <w:rsid w:val="00172CAA"/>
    <w:rsid w:val="001A1711"/>
    <w:rsid w:val="001C6DDA"/>
    <w:rsid w:val="001E6A00"/>
    <w:rsid w:val="002E5296"/>
    <w:rsid w:val="00303902"/>
    <w:rsid w:val="003F0238"/>
    <w:rsid w:val="003F7C65"/>
    <w:rsid w:val="00437398"/>
    <w:rsid w:val="0045738C"/>
    <w:rsid w:val="005825D6"/>
    <w:rsid w:val="005C7E80"/>
    <w:rsid w:val="005E1A9C"/>
    <w:rsid w:val="00660FB0"/>
    <w:rsid w:val="00670959"/>
    <w:rsid w:val="006725C1"/>
    <w:rsid w:val="00682AAB"/>
    <w:rsid w:val="006E0DCF"/>
    <w:rsid w:val="006E27F8"/>
    <w:rsid w:val="00836572"/>
    <w:rsid w:val="00836A2E"/>
    <w:rsid w:val="008639F1"/>
    <w:rsid w:val="00887695"/>
    <w:rsid w:val="0089198F"/>
    <w:rsid w:val="008B31AD"/>
    <w:rsid w:val="008B4807"/>
    <w:rsid w:val="00905067"/>
    <w:rsid w:val="009142CD"/>
    <w:rsid w:val="00914B95"/>
    <w:rsid w:val="009218A1"/>
    <w:rsid w:val="00933761"/>
    <w:rsid w:val="00942813"/>
    <w:rsid w:val="0099189B"/>
    <w:rsid w:val="009D12A2"/>
    <w:rsid w:val="009E2D47"/>
    <w:rsid w:val="00A0055E"/>
    <w:rsid w:val="00A77937"/>
    <w:rsid w:val="00AB76B1"/>
    <w:rsid w:val="00AD5912"/>
    <w:rsid w:val="00AF4675"/>
    <w:rsid w:val="00C06A48"/>
    <w:rsid w:val="00C114F2"/>
    <w:rsid w:val="00C13EF4"/>
    <w:rsid w:val="00C16D87"/>
    <w:rsid w:val="00C551C5"/>
    <w:rsid w:val="00CB1EA9"/>
    <w:rsid w:val="00CB4093"/>
    <w:rsid w:val="00CE2A8C"/>
    <w:rsid w:val="00D11C5B"/>
    <w:rsid w:val="00D70774"/>
    <w:rsid w:val="00DD4328"/>
    <w:rsid w:val="00E73DBE"/>
    <w:rsid w:val="00F07BCB"/>
    <w:rsid w:val="00F82F99"/>
    <w:rsid w:val="00FA321D"/>
    <w:rsid w:val="00FE3A45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8160"/>
  <w15:docId w15:val="{236F79A0-4B74-45D9-9284-A1012AC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711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17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c-titleul1">
    <w:name w:val="rc-titleul1"/>
    <w:basedOn w:val="DefaultParagraphFont"/>
    <w:rsid w:val="001A1711"/>
    <w:rPr>
      <w:b/>
      <w:bCs/>
      <w:sz w:val="19"/>
      <w:szCs w:val="19"/>
    </w:rPr>
  </w:style>
  <w:style w:type="character" w:styleId="Strong">
    <w:name w:val="Strong"/>
    <w:basedOn w:val="DefaultParagraphFont"/>
    <w:uiPriority w:val="22"/>
    <w:qFormat/>
    <w:rsid w:val="001A1711"/>
    <w:rPr>
      <w:b/>
      <w:bCs/>
    </w:rPr>
  </w:style>
  <w:style w:type="character" w:styleId="Emphasis">
    <w:name w:val="Emphasis"/>
    <w:basedOn w:val="DefaultParagraphFont"/>
    <w:uiPriority w:val="20"/>
    <w:qFormat/>
    <w:rsid w:val="001A17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2.ul.ie/pdf/38819673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4C561F852D4C8A3DF767914AFDE8" ma:contentTypeVersion="9" ma:contentTypeDescription="Create a new document." ma:contentTypeScope="" ma:versionID="cf487a0f629b5d25baa745e040f7ba82">
  <xsd:schema xmlns:xsd="http://www.w3.org/2001/XMLSchema" xmlns:xs="http://www.w3.org/2001/XMLSchema" xmlns:p="http://schemas.microsoft.com/office/2006/metadata/properties" xmlns:ns3="4ab424ae-143f-49b7-9e5e-a0093718a4bc" targetNamespace="http://schemas.microsoft.com/office/2006/metadata/properties" ma:root="true" ma:fieldsID="b4bcbbad0cebf6e45dbeca76403ebdb4" ns3:_="">
    <xsd:import namespace="4ab424ae-143f-49b7-9e5e-a0093718a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424ae-143f-49b7-9e5e-a0093718a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B3341-DD7F-4FBE-A148-311043F05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424ae-143f-49b7-9e5e-a0093718a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E8636-6EDA-4768-9D7E-96182AED2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A20CE-FB6C-4F86-AABE-ADAC30855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Michele.ODwyer</dc:creator>
  <cp:lastModifiedBy>Mary.Heuston</cp:lastModifiedBy>
  <cp:revision>2</cp:revision>
  <cp:lastPrinted>2015-09-22T08:43:00Z</cp:lastPrinted>
  <dcterms:created xsi:type="dcterms:W3CDTF">2021-01-25T14:41:00Z</dcterms:created>
  <dcterms:modified xsi:type="dcterms:W3CDTF">2021-01-25T14:41:00Z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0x010100FCE34C561F852D4C8A3DF767914AFDE8</vt:lpwstr>
  </property>
</Properties>
</file>